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32A0" w14:textId="1DE3E49E" w:rsidR="002F1EA5" w:rsidRPr="00F25A03" w:rsidRDefault="00D106B5" w:rsidP="002F1EA5">
      <w:pPr>
        <w:jc w:val="center"/>
        <w:rPr>
          <w:b/>
          <w:sz w:val="28"/>
          <w:lang w:val="en-US"/>
        </w:rPr>
      </w:pPr>
      <w:r w:rsidRPr="00F25A03">
        <w:rPr>
          <w:b/>
          <w:sz w:val="28"/>
          <w:lang w:val="en-US"/>
        </w:rPr>
        <w:t xml:space="preserve">Analysis of </w:t>
      </w:r>
      <w:r w:rsidR="00A03790">
        <w:rPr>
          <w:b/>
          <w:sz w:val="28"/>
          <w:lang w:val="en-US"/>
        </w:rPr>
        <w:t>copy number variation in patients with Epileptic Encephalopathies</w:t>
      </w:r>
      <w:r w:rsidRPr="00F25A03">
        <w:rPr>
          <w:b/>
          <w:sz w:val="28"/>
          <w:lang w:val="en-US"/>
        </w:rPr>
        <w:t xml:space="preserve"> and </w:t>
      </w:r>
      <w:r w:rsidR="00A03790">
        <w:rPr>
          <w:b/>
          <w:sz w:val="28"/>
          <w:lang w:val="en-US"/>
        </w:rPr>
        <w:t>Generalized Epilepsy with Febrile Seizures Plus</w:t>
      </w:r>
    </w:p>
    <w:p w14:paraId="7ED11689" w14:textId="77777777" w:rsidR="00E24564" w:rsidRPr="00F25A03" w:rsidRDefault="00E24564" w:rsidP="002F1EA5">
      <w:pPr>
        <w:jc w:val="center"/>
        <w:rPr>
          <w:lang w:val="en-US"/>
        </w:rPr>
      </w:pPr>
    </w:p>
    <w:p w14:paraId="365A940F" w14:textId="72D2DA78" w:rsidR="002F1EA5" w:rsidRPr="001D7D00" w:rsidRDefault="00B958F8" w:rsidP="00F25A03">
      <w:pPr>
        <w:jc w:val="center"/>
      </w:pPr>
      <w:r w:rsidRPr="001D7D00">
        <w:t>TOLEDO</w:t>
      </w:r>
      <w:r w:rsidR="00F25A03" w:rsidRPr="001D7D00">
        <w:t>, C. M.</w:t>
      </w:r>
      <w:r w:rsidR="002F1EA5" w:rsidRPr="001D7D00">
        <w:rPr>
          <w:vertAlign w:val="superscript"/>
        </w:rPr>
        <w:t>1</w:t>
      </w:r>
      <w:r w:rsidR="002F1EA5" w:rsidRPr="001D7D00">
        <w:t>, S</w:t>
      </w:r>
      <w:r w:rsidR="00F25A03" w:rsidRPr="001D7D00">
        <w:t>OLER, C. V.</w:t>
      </w:r>
      <w:r w:rsidR="00F25A03" w:rsidRPr="001D7D00">
        <w:rPr>
          <w:vertAlign w:val="superscript"/>
        </w:rPr>
        <w:t xml:space="preserve"> 1</w:t>
      </w:r>
      <w:r w:rsidR="002F1EA5" w:rsidRPr="001D7D00">
        <w:t>,</w:t>
      </w:r>
      <w:r w:rsidR="00F25A03" w:rsidRPr="001D7D00">
        <w:t xml:space="preserve"> </w:t>
      </w:r>
      <w:r w:rsidRPr="001D7D00">
        <w:t>GONSALES</w:t>
      </w:r>
      <w:r w:rsidR="00F25A03" w:rsidRPr="001D7D00">
        <w:t>, M.C</w:t>
      </w:r>
      <w:r w:rsidR="00F25A03" w:rsidRPr="001D7D00">
        <w:rPr>
          <w:vertAlign w:val="superscript"/>
        </w:rPr>
        <w:t>1</w:t>
      </w:r>
      <w:r w:rsidR="00F25A03" w:rsidRPr="001D7D00">
        <w:t xml:space="preserve">, </w:t>
      </w:r>
      <w:r w:rsidRPr="001D7D00">
        <w:t>LOPES-CENDES</w:t>
      </w:r>
      <w:r w:rsidR="00F25A03" w:rsidRPr="001D7D00">
        <w:t>, I.</w:t>
      </w:r>
      <w:r w:rsidR="00F25A03" w:rsidRPr="001D7D00">
        <w:rPr>
          <w:vertAlign w:val="superscript"/>
        </w:rPr>
        <w:t>1</w:t>
      </w:r>
      <w:r w:rsidR="0049470E" w:rsidRPr="001D7D00">
        <w:t xml:space="preserve"> </w:t>
      </w:r>
    </w:p>
    <w:p w14:paraId="4BEEDAE4" w14:textId="263E1B1F" w:rsidR="002F1EA5" w:rsidRPr="00F25A03" w:rsidRDefault="002F1EA5" w:rsidP="002F1EA5">
      <w:pPr>
        <w:jc w:val="center"/>
        <w:rPr>
          <w:sz w:val="20"/>
          <w:lang w:val="en-US"/>
        </w:rPr>
      </w:pPr>
      <w:r w:rsidRPr="00F25A03">
        <w:rPr>
          <w:sz w:val="20"/>
          <w:vertAlign w:val="superscript"/>
          <w:lang w:val="en-US"/>
        </w:rPr>
        <w:t>1</w:t>
      </w:r>
      <w:r w:rsidR="00F25A03" w:rsidRPr="00F25A03">
        <w:rPr>
          <w:rFonts w:ascii="Arial" w:hAnsi="Arial" w:cs="Arial"/>
          <w:sz w:val="16"/>
          <w:lang w:val="en-US"/>
        </w:rPr>
        <w:t xml:space="preserve"> </w:t>
      </w:r>
      <w:r w:rsidR="00F25A03" w:rsidRPr="00F25A03">
        <w:rPr>
          <w:sz w:val="20"/>
          <w:lang w:val="en-US"/>
        </w:rPr>
        <w:t>D</w:t>
      </w:r>
      <w:r w:rsidR="008C461A">
        <w:rPr>
          <w:sz w:val="20"/>
          <w:lang w:val="en-US"/>
        </w:rPr>
        <w:t>ept. of Medical Genetics, School of Medical Sciences, University of Campinas-</w:t>
      </w:r>
      <w:r w:rsidR="00F25A03" w:rsidRPr="00F25A03">
        <w:rPr>
          <w:sz w:val="20"/>
          <w:lang w:val="en-US"/>
        </w:rPr>
        <w:t>UNICAMP, Campinas, SP</w:t>
      </w:r>
      <w:r w:rsidR="008C461A">
        <w:rPr>
          <w:sz w:val="20"/>
          <w:lang w:val="en-US"/>
        </w:rPr>
        <w:t>, BRAZIL</w:t>
      </w:r>
    </w:p>
    <w:p w14:paraId="255035B2" w14:textId="77777777" w:rsidR="00263FB4" w:rsidRPr="00F25A03" w:rsidRDefault="00263FB4" w:rsidP="002F1EA5">
      <w:pPr>
        <w:jc w:val="center"/>
        <w:rPr>
          <w:lang w:val="en-US"/>
        </w:rPr>
      </w:pPr>
    </w:p>
    <w:p w14:paraId="612D578E" w14:textId="7616DEB0" w:rsidR="00263FB4" w:rsidRPr="008269F1" w:rsidRDefault="00263FB4" w:rsidP="00B958F8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  <w:lang w:val="en-US"/>
        </w:rPr>
      </w:pPr>
      <w:r w:rsidRPr="00F25A03">
        <w:rPr>
          <w:b/>
          <w:lang w:val="en-US"/>
        </w:rPr>
        <w:t>Introduction:</w:t>
      </w:r>
      <w:r w:rsidRPr="00F25A03">
        <w:rPr>
          <w:lang w:val="en-US"/>
        </w:rPr>
        <w:t xml:space="preserve"> </w:t>
      </w:r>
      <w:r w:rsidR="002B42B8" w:rsidRPr="00F25A03">
        <w:rPr>
          <w:lang w:val="en-US"/>
        </w:rPr>
        <w:t>Epileptic encephalopath</w:t>
      </w:r>
      <w:r w:rsidR="00956742">
        <w:rPr>
          <w:lang w:val="en-US"/>
        </w:rPr>
        <w:t>y</w:t>
      </w:r>
      <w:r w:rsidR="002B42B8" w:rsidRPr="00F25A03">
        <w:rPr>
          <w:lang w:val="en-US"/>
        </w:rPr>
        <w:t xml:space="preserve"> is a </w:t>
      </w:r>
      <w:r w:rsidR="0009797F">
        <w:rPr>
          <w:lang w:val="en-US"/>
        </w:rPr>
        <w:t xml:space="preserve">chronic </w:t>
      </w:r>
      <w:r w:rsidR="002B42B8" w:rsidRPr="00F25A03">
        <w:rPr>
          <w:lang w:val="en-US"/>
        </w:rPr>
        <w:t>disorder that consists of repeated disruptions in the electrical activity of the brain, which can culminate on psychomotor dysfunctions</w:t>
      </w:r>
      <w:r w:rsidR="006F5CBC">
        <w:rPr>
          <w:lang w:val="en-US"/>
        </w:rPr>
        <w:t xml:space="preserve"> </w:t>
      </w:r>
      <w:r w:rsidR="006F5CBC">
        <w:rPr>
          <w:rFonts w:ascii="Times" w:hAnsi="Times" w:cs="Times"/>
          <w:szCs w:val="24"/>
          <w:lang w:val="en-US"/>
        </w:rPr>
        <w:t>[1]</w:t>
      </w:r>
      <w:r w:rsidR="002B42B8" w:rsidRPr="00F25A03">
        <w:rPr>
          <w:lang w:val="en-US"/>
        </w:rPr>
        <w:t>.</w:t>
      </w:r>
      <w:r w:rsidR="00D106B5" w:rsidRPr="00F25A03">
        <w:rPr>
          <w:lang w:val="en-US"/>
        </w:rPr>
        <w:t xml:space="preserve"> </w:t>
      </w:r>
      <w:r w:rsidR="00F25A03" w:rsidRPr="00F25A03">
        <w:rPr>
          <w:rFonts w:ascii="Times" w:hAnsi="Times" w:cs="Times"/>
          <w:szCs w:val="24"/>
          <w:lang w:val="en-US"/>
        </w:rPr>
        <w:t xml:space="preserve">Associated </w:t>
      </w:r>
      <w:r w:rsidR="0083568D">
        <w:rPr>
          <w:rFonts w:ascii="Times" w:hAnsi="Times" w:cs="Times"/>
          <w:szCs w:val="24"/>
          <w:lang w:val="en-US"/>
        </w:rPr>
        <w:t>issues</w:t>
      </w:r>
      <w:r w:rsidR="00F25A03">
        <w:rPr>
          <w:rFonts w:ascii="Times" w:hAnsi="Times" w:cs="Times"/>
          <w:szCs w:val="24"/>
          <w:lang w:val="en-US"/>
        </w:rPr>
        <w:t xml:space="preserve"> of the Childhood Epileptic Encephalopathies (CEE) are </w:t>
      </w:r>
      <w:r w:rsidR="00F25A03" w:rsidRPr="00F25A03">
        <w:rPr>
          <w:rFonts w:ascii="Times" w:hAnsi="Times" w:cs="Times"/>
          <w:szCs w:val="24"/>
          <w:lang w:val="en-US"/>
        </w:rPr>
        <w:t>neurological, intellectual, behavioral or psychiatric</w:t>
      </w:r>
      <w:r w:rsidR="0083568D">
        <w:rPr>
          <w:rFonts w:ascii="Times" w:hAnsi="Times" w:cs="Times"/>
          <w:szCs w:val="24"/>
          <w:lang w:val="en-US"/>
        </w:rPr>
        <w:t xml:space="preserve"> disorders</w:t>
      </w:r>
      <w:r w:rsidR="006F5CBC">
        <w:rPr>
          <w:rFonts w:ascii="Times" w:hAnsi="Times" w:cs="Times"/>
          <w:szCs w:val="24"/>
          <w:lang w:val="en-US"/>
        </w:rPr>
        <w:t xml:space="preserve"> [2]</w:t>
      </w:r>
      <w:r w:rsidR="0083568D">
        <w:rPr>
          <w:rFonts w:ascii="Times" w:hAnsi="Times" w:cs="Times"/>
          <w:szCs w:val="24"/>
          <w:lang w:val="en-US"/>
        </w:rPr>
        <w:t>.</w:t>
      </w:r>
      <w:r w:rsidR="00956742">
        <w:rPr>
          <w:rFonts w:ascii="Times" w:hAnsi="Times" w:cs="Times"/>
          <w:szCs w:val="24"/>
          <w:lang w:val="en-US"/>
        </w:rPr>
        <w:t xml:space="preserve"> </w:t>
      </w:r>
      <w:r w:rsidR="00B958F8">
        <w:rPr>
          <w:rFonts w:ascii="Times" w:hAnsi="Times" w:cs="Times"/>
          <w:szCs w:val="24"/>
          <w:lang w:val="en-US"/>
        </w:rPr>
        <w:t xml:space="preserve">Since </w:t>
      </w:r>
      <w:r w:rsidR="00956742">
        <w:rPr>
          <w:rFonts w:ascii="Times" w:hAnsi="Times" w:cs="Times"/>
          <w:szCs w:val="24"/>
          <w:lang w:val="en-US"/>
        </w:rPr>
        <w:t>C</w:t>
      </w:r>
      <w:r w:rsidR="0009797F">
        <w:rPr>
          <w:rFonts w:ascii="Times" w:hAnsi="Times" w:cs="Times"/>
          <w:szCs w:val="24"/>
          <w:lang w:val="en-US"/>
        </w:rPr>
        <w:t>EEs are complex disorders, it is</w:t>
      </w:r>
      <w:r w:rsidR="00956742">
        <w:rPr>
          <w:rFonts w:ascii="Times" w:hAnsi="Times" w:cs="Times"/>
          <w:szCs w:val="24"/>
          <w:lang w:val="en-US"/>
        </w:rPr>
        <w:t xml:space="preserve"> a challenge to confirm these conditions with molecular findings.</w:t>
      </w:r>
      <w:r w:rsidR="009C2FC7">
        <w:rPr>
          <w:rFonts w:ascii="Times" w:hAnsi="Times" w:cs="Times"/>
          <w:szCs w:val="24"/>
          <w:lang w:val="en-US"/>
        </w:rPr>
        <w:t xml:space="preserve"> </w:t>
      </w:r>
      <w:r w:rsidR="00956742">
        <w:rPr>
          <w:rFonts w:ascii="Times" w:hAnsi="Times" w:cs="Times"/>
          <w:szCs w:val="24"/>
          <w:lang w:val="en-US"/>
        </w:rPr>
        <w:t xml:space="preserve">As some patients with </w:t>
      </w:r>
      <w:proofErr w:type="spellStart"/>
      <w:r w:rsidR="00956742">
        <w:rPr>
          <w:rFonts w:ascii="Times" w:hAnsi="Times" w:cs="Times"/>
          <w:szCs w:val="24"/>
          <w:lang w:val="en-US"/>
        </w:rPr>
        <w:t>Dravet</w:t>
      </w:r>
      <w:proofErr w:type="spellEnd"/>
      <w:r w:rsidR="00956742">
        <w:rPr>
          <w:rFonts w:ascii="Times" w:hAnsi="Times" w:cs="Times"/>
          <w:szCs w:val="24"/>
          <w:lang w:val="en-US"/>
        </w:rPr>
        <w:t xml:space="preserve"> Syndrome were found </w:t>
      </w:r>
      <w:r w:rsidR="00DD354A">
        <w:rPr>
          <w:rFonts w:ascii="Times" w:hAnsi="Times" w:cs="Times"/>
          <w:szCs w:val="24"/>
          <w:lang w:val="en-US"/>
        </w:rPr>
        <w:t xml:space="preserve">to have copy number variations </w:t>
      </w:r>
      <w:r w:rsidR="0009797F">
        <w:rPr>
          <w:rFonts w:ascii="Times" w:hAnsi="Times" w:cs="Times"/>
          <w:szCs w:val="24"/>
          <w:lang w:val="en-US"/>
        </w:rPr>
        <w:t xml:space="preserve">in the </w:t>
      </w:r>
      <w:r w:rsidR="0009797F" w:rsidRPr="0009797F">
        <w:rPr>
          <w:rFonts w:ascii="Times" w:hAnsi="Times" w:cs="Times"/>
          <w:i/>
          <w:szCs w:val="24"/>
          <w:lang w:val="en-US"/>
        </w:rPr>
        <w:t>SCN1A</w:t>
      </w:r>
      <w:r w:rsidR="00FF5A59">
        <w:rPr>
          <w:rFonts w:ascii="Times" w:hAnsi="Times" w:cs="Times"/>
          <w:szCs w:val="24"/>
          <w:lang w:val="en-US"/>
        </w:rPr>
        <w:t xml:space="preserve"> gene</w:t>
      </w:r>
      <w:r w:rsidR="006F5CBC">
        <w:rPr>
          <w:rFonts w:ascii="Times" w:hAnsi="Times" w:cs="Times"/>
          <w:szCs w:val="24"/>
          <w:lang w:val="en-US"/>
        </w:rPr>
        <w:t xml:space="preserve"> [3]</w:t>
      </w:r>
      <w:r w:rsidR="00FF5A59">
        <w:rPr>
          <w:rFonts w:ascii="Times" w:hAnsi="Times" w:cs="Times"/>
          <w:szCs w:val="24"/>
          <w:lang w:val="en-US"/>
        </w:rPr>
        <w:t xml:space="preserve">, </w:t>
      </w:r>
      <w:r w:rsidR="00FF5A59">
        <w:rPr>
          <w:lang w:val="en-US"/>
        </w:rPr>
        <w:t>one of the most important genes in the molecular analysis of epileptic encephalopathies</w:t>
      </w:r>
      <w:r w:rsidR="00FF5A59">
        <w:rPr>
          <w:rFonts w:ascii="Times" w:hAnsi="Times" w:cs="Times"/>
          <w:szCs w:val="24"/>
          <w:lang w:val="en-US"/>
        </w:rPr>
        <w:t xml:space="preserve">, </w:t>
      </w:r>
      <w:r w:rsidR="0009797F">
        <w:rPr>
          <w:rFonts w:ascii="Times" w:hAnsi="Times" w:cs="Times"/>
          <w:szCs w:val="24"/>
          <w:lang w:val="en-US"/>
        </w:rPr>
        <w:t>testing patients</w:t>
      </w:r>
      <w:r w:rsidR="00956742">
        <w:rPr>
          <w:rFonts w:ascii="Times" w:hAnsi="Times" w:cs="Times"/>
          <w:szCs w:val="24"/>
          <w:lang w:val="en-US"/>
        </w:rPr>
        <w:t xml:space="preserve"> with other encephalopathies and </w:t>
      </w:r>
      <w:r w:rsidR="0009797F">
        <w:rPr>
          <w:rFonts w:ascii="Times" w:hAnsi="Times" w:cs="Times"/>
          <w:szCs w:val="24"/>
          <w:lang w:val="en-US"/>
        </w:rPr>
        <w:t xml:space="preserve">clinically related </w:t>
      </w:r>
      <w:r w:rsidR="00956742">
        <w:rPr>
          <w:rFonts w:ascii="Times" w:hAnsi="Times" w:cs="Times"/>
          <w:szCs w:val="24"/>
          <w:lang w:val="en-US"/>
        </w:rPr>
        <w:t xml:space="preserve">conditions such as Generalized </w:t>
      </w:r>
      <w:r w:rsidR="00697F8C">
        <w:rPr>
          <w:rFonts w:ascii="Times" w:hAnsi="Times" w:cs="Times"/>
          <w:szCs w:val="24"/>
          <w:lang w:val="en-US"/>
        </w:rPr>
        <w:t xml:space="preserve">(or Genetic) </w:t>
      </w:r>
      <w:r w:rsidR="00956742">
        <w:rPr>
          <w:rFonts w:ascii="Times" w:hAnsi="Times" w:cs="Times"/>
          <w:szCs w:val="24"/>
          <w:lang w:val="en-US"/>
        </w:rPr>
        <w:t>Epilepsy with Febrile Seizures Plus</w:t>
      </w:r>
      <w:r w:rsidR="00956742" w:rsidRPr="009C2FC7">
        <w:rPr>
          <w:rFonts w:ascii="Times" w:hAnsi="Times" w:cs="Times"/>
          <w:szCs w:val="24"/>
          <w:lang w:val="en-US"/>
        </w:rPr>
        <w:t xml:space="preserve"> </w:t>
      </w:r>
      <w:r w:rsidR="00697F8C">
        <w:rPr>
          <w:rFonts w:ascii="Times" w:hAnsi="Times" w:cs="Times"/>
          <w:szCs w:val="24"/>
          <w:lang w:val="en-US"/>
        </w:rPr>
        <w:t>(</w:t>
      </w:r>
      <w:r w:rsidR="00697F8C">
        <w:rPr>
          <w:lang w:val="en-US"/>
        </w:rPr>
        <w:t>GEFS+)</w:t>
      </w:r>
      <w:r w:rsidR="00697F8C">
        <w:rPr>
          <w:rFonts w:ascii="Times" w:hAnsi="Times" w:cs="Times"/>
          <w:szCs w:val="24"/>
          <w:lang w:val="en-US"/>
        </w:rPr>
        <w:t xml:space="preserve"> </w:t>
      </w:r>
      <w:r w:rsidR="00956742" w:rsidRPr="009C2FC7">
        <w:rPr>
          <w:rFonts w:ascii="Times" w:hAnsi="Times" w:cs="Times"/>
          <w:szCs w:val="24"/>
          <w:lang w:val="en-US"/>
        </w:rPr>
        <w:t xml:space="preserve">is </w:t>
      </w:r>
      <w:r w:rsidR="00697F8C">
        <w:rPr>
          <w:rFonts w:ascii="Times" w:hAnsi="Times" w:cs="Times"/>
          <w:szCs w:val="24"/>
          <w:lang w:val="en-US"/>
        </w:rPr>
        <w:t>essential</w:t>
      </w:r>
      <w:r w:rsidR="00B958F8">
        <w:rPr>
          <w:rFonts w:ascii="Times" w:hAnsi="Times" w:cs="Times"/>
          <w:szCs w:val="24"/>
          <w:lang w:val="en-US"/>
        </w:rPr>
        <w:t>.</w:t>
      </w:r>
      <w:r w:rsidR="008269F1">
        <w:rPr>
          <w:rFonts w:ascii="Times" w:hAnsi="Times" w:cs="Times"/>
          <w:szCs w:val="24"/>
          <w:lang w:val="en-US"/>
        </w:rPr>
        <w:t xml:space="preserve"> </w:t>
      </w:r>
      <w:r w:rsidR="00697F8C">
        <w:rPr>
          <w:lang w:val="en-US"/>
        </w:rPr>
        <w:t xml:space="preserve">GEFS+ </w:t>
      </w:r>
      <w:r w:rsidR="00956742">
        <w:rPr>
          <w:lang w:val="en-US"/>
        </w:rPr>
        <w:t xml:space="preserve">is an inherited condition that consists of repeated febrile seizures, usually generalized, that </w:t>
      </w:r>
      <w:r w:rsidR="00697F8C">
        <w:rPr>
          <w:lang w:val="en-US"/>
        </w:rPr>
        <w:t xml:space="preserve">either </w:t>
      </w:r>
      <w:r w:rsidR="00956742">
        <w:rPr>
          <w:lang w:val="en-US"/>
        </w:rPr>
        <w:t>continue after the age of 6</w:t>
      </w:r>
      <w:r w:rsidR="00FF5A59">
        <w:rPr>
          <w:lang w:val="en-US"/>
        </w:rPr>
        <w:t xml:space="preserve"> or </w:t>
      </w:r>
      <w:r w:rsidR="00FB307A">
        <w:rPr>
          <w:lang w:val="en-US"/>
        </w:rPr>
        <w:t xml:space="preserve">also present </w:t>
      </w:r>
      <w:r w:rsidR="00FF5A59">
        <w:rPr>
          <w:lang w:val="en-US"/>
        </w:rPr>
        <w:t>afebrile seizures</w:t>
      </w:r>
      <w:r w:rsidR="006F5CBC">
        <w:rPr>
          <w:lang w:val="en-US"/>
        </w:rPr>
        <w:t xml:space="preserve"> [4]</w:t>
      </w:r>
      <w:r w:rsidR="00956742">
        <w:rPr>
          <w:lang w:val="en-US"/>
        </w:rPr>
        <w:t>. Most people with GEFS</w:t>
      </w:r>
      <w:r w:rsidR="00FB307A">
        <w:rPr>
          <w:lang w:val="en-US"/>
        </w:rPr>
        <w:t>+ do not have cognitive deficit;</w:t>
      </w:r>
      <w:r w:rsidR="00956742">
        <w:rPr>
          <w:lang w:val="en-US"/>
        </w:rPr>
        <w:t xml:space="preserve"> however</w:t>
      </w:r>
      <w:r w:rsidR="00697F8C">
        <w:rPr>
          <w:lang w:val="en-US"/>
        </w:rPr>
        <w:t>,</w:t>
      </w:r>
      <w:r w:rsidR="00FB307A">
        <w:rPr>
          <w:lang w:val="en-US"/>
        </w:rPr>
        <w:t xml:space="preserve"> few patients with </w:t>
      </w:r>
      <w:r w:rsidR="008E6A02">
        <w:rPr>
          <w:lang w:val="en-US"/>
        </w:rPr>
        <w:t>more severe presentation</w:t>
      </w:r>
      <w:r w:rsidR="00956742">
        <w:rPr>
          <w:lang w:val="en-US"/>
        </w:rPr>
        <w:t xml:space="preserve"> </w:t>
      </w:r>
      <w:r w:rsidR="00FF5A59">
        <w:rPr>
          <w:lang w:val="en-US"/>
        </w:rPr>
        <w:t xml:space="preserve">may </w:t>
      </w:r>
      <w:r w:rsidR="00FB307A">
        <w:rPr>
          <w:lang w:val="en-US"/>
        </w:rPr>
        <w:t xml:space="preserve">have </w:t>
      </w:r>
      <w:r w:rsidR="00956742">
        <w:rPr>
          <w:lang w:val="en-US"/>
        </w:rPr>
        <w:t>intellectual and physical disorders</w:t>
      </w:r>
      <w:r w:rsidR="006F5CBC">
        <w:rPr>
          <w:lang w:val="en-US"/>
        </w:rPr>
        <w:t xml:space="preserve"> [5</w:t>
      </w:r>
      <w:r w:rsidR="001A72F2">
        <w:rPr>
          <w:lang w:val="en-US"/>
        </w:rPr>
        <w:t>]</w:t>
      </w:r>
      <w:r w:rsidR="00956742">
        <w:rPr>
          <w:lang w:val="en-US"/>
        </w:rPr>
        <w:t>.</w:t>
      </w:r>
      <w:r w:rsidR="00A03790">
        <w:rPr>
          <w:lang w:val="en-US"/>
        </w:rPr>
        <w:t xml:space="preserve"> </w:t>
      </w:r>
    </w:p>
    <w:p w14:paraId="4614DA94" w14:textId="0FFF99B9" w:rsidR="00FF5A59" w:rsidRPr="00F25A03" w:rsidRDefault="00263FB4" w:rsidP="001A72F2">
      <w:pPr>
        <w:spacing w:before="120"/>
        <w:rPr>
          <w:lang w:val="en-US"/>
        </w:rPr>
      </w:pPr>
      <w:r w:rsidRPr="00F25A03">
        <w:rPr>
          <w:b/>
          <w:lang w:val="en-US"/>
        </w:rPr>
        <w:t>Materials and Methods:</w:t>
      </w:r>
      <w:r w:rsidRPr="00F25A03">
        <w:rPr>
          <w:lang w:val="en-US"/>
        </w:rPr>
        <w:t xml:space="preserve"> </w:t>
      </w:r>
      <w:r w:rsidR="00D106B5" w:rsidRPr="00F25A03">
        <w:rPr>
          <w:lang w:val="en-US"/>
        </w:rPr>
        <w:t xml:space="preserve">The </w:t>
      </w:r>
      <w:r w:rsidR="00A03790">
        <w:rPr>
          <w:lang w:val="en-US"/>
        </w:rPr>
        <w:t xml:space="preserve">technique used to </w:t>
      </w:r>
      <w:r w:rsidR="008E6A02">
        <w:rPr>
          <w:lang w:val="en-US"/>
        </w:rPr>
        <w:t xml:space="preserve">assess </w:t>
      </w:r>
      <w:r w:rsidR="00956742">
        <w:rPr>
          <w:lang w:val="en-US"/>
        </w:rPr>
        <w:t>copy number variations</w:t>
      </w:r>
      <w:r w:rsidR="008E6A02">
        <w:rPr>
          <w:lang w:val="en-US"/>
        </w:rPr>
        <w:t xml:space="preserve"> was Multiplex</w:t>
      </w:r>
      <w:r w:rsidR="00D106B5" w:rsidRPr="00F25A03">
        <w:rPr>
          <w:lang w:val="en-US"/>
        </w:rPr>
        <w:t xml:space="preserve"> Ligation Probe Amplification (MLPA). </w:t>
      </w:r>
      <w:r w:rsidR="00A03790">
        <w:rPr>
          <w:lang w:val="en-US"/>
        </w:rPr>
        <w:t xml:space="preserve">The results of the MLPA were then </w:t>
      </w:r>
      <w:r w:rsidR="008269F1">
        <w:rPr>
          <w:lang w:val="en-US"/>
        </w:rPr>
        <w:t>evaluated</w:t>
      </w:r>
      <w:r w:rsidR="00A03790">
        <w:rPr>
          <w:lang w:val="en-US"/>
        </w:rPr>
        <w:t xml:space="preserve"> in the </w:t>
      </w:r>
      <w:r w:rsidR="008269F1">
        <w:rPr>
          <w:lang w:val="en-US"/>
        </w:rPr>
        <w:t xml:space="preserve">computer program </w:t>
      </w:r>
      <w:proofErr w:type="spellStart"/>
      <w:r w:rsidR="00A03790">
        <w:rPr>
          <w:lang w:val="en-US"/>
        </w:rPr>
        <w:t>Coffalyzer</w:t>
      </w:r>
      <w:proofErr w:type="spellEnd"/>
      <w:r w:rsidR="00A03790">
        <w:rPr>
          <w:lang w:val="en-US"/>
        </w:rPr>
        <w:t xml:space="preserve">. </w:t>
      </w:r>
      <w:r w:rsidR="00D106B5" w:rsidRPr="00F25A03">
        <w:rPr>
          <w:lang w:val="en-US"/>
        </w:rPr>
        <w:t xml:space="preserve">Samples of DNA from </w:t>
      </w:r>
      <w:r w:rsidR="00F25A03" w:rsidRPr="00F25A03">
        <w:rPr>
          <w:lang w:val="en-US"/>
        </w:rPr>
        <w:t xml:space="preserve">a total of </w:t>
      </w:r>
      <w:r w:rsidR="00D106B5" w:rsidRPr="00F25A03">
        <w:rPr>
          <w:lang w:val="en-US"/>
        </w:rPr>
        <w:t xml:space="preserve">55 patients were analyzed though this technique, 48 of which were diagnosed with </w:t>
      </w:r>
      <w:r w:rsidR="00956742">
        <w:rPr>
          <w:lang w:val="en-US"/>
        </w:rPr>
        <w:t>CEEs</w:t>
      </w:r>
      <w:r w:rsidR="00D106B5" w:rsidRPr="00F25A03">
        <w:rPr>
          <w:lang w:val="en-US"/>
        </w:rPr>
        <w:t xml:space="preserve"> and 7 were diagnosed with GEFS+</w:t>
      </w:r>
      <w:r w:rsidR="00F25A03" w:rsidRPr="00F25A03">
        <w:rPr>
          <w:lang w:val="en-US"/>
        </w:rPr>
        <w:t xml:space="preserve">. </w:t>
      </w:r>
    </w:p>
    <w:p w14:paraId="6BF348B7" w14:textId="633B3700" w:rsidR="00263FB4" w:rsidRDefault="00263FB4" w:rsidP="001A72F2">
      <w:pPr>
        <w:spacing w:before="120"/>
        <w:rPr>
          <w:lang w:val="en-US"/>
        </w:rPr>
      </w:pPr>
      <w:r w:rsidRPr="00F25A03">
        <w:rPr>
          <w:b/>
          <w:lang w:val="en-US"/>
        </w:rPr>
        <w:t>Results:</w:t>
      </w:r>
      <w:r w:rsidRPr="00F25A03">
        <w:rPr>
          <w:lang w:val="en-US"/>
        </w:rPr>
        <w:t xml:space="preserve"> </w:t>
      </w:r>
      <w:r w:rsidR="00F25A03" w:rsidRPr="00F25A03">
        <w:rPr>
          <w:lang w:val="en-US"/>
        </w:rPr>
        <w:t xml:space="preserve">One patient with GEFS+ and borderline </w:t>
      </w:r>
      <w:proofErr w:type="spellStart"/>
      <w:r w:rsidR="00F25A03" w:rsidRPr="00F25A03">
        <w:rPr>
          <w:lang w:val="en-US"/>
        </w:rPr>
        <w:t>Dravet</w:t>
      </w:r>
      <w:proofErr w:type="spellEnd"/>
      <w:r w:rsidR="00F25A03" w:rsidRPr="00F25A03">
        <w:rPr>
          <w:lang w:val="en-US"/>
        </w:rPr>
        <w:t xml:space="preserve"> syndrome was found</w:t>
      </w:r>
      <w:r w:rsidR="008269F1">
        <w:rPr>
          <w:lang w:val="en-US"/>
        </w:rPr>
        <w:t xml:space="preserve"> to have a deletion in exons 21 to 26</w:t>
      </w:r>
      <w:r w:rsidR="002A0BE2">
        <w:rPr>
          <w:lang w:val="en-US"/>
        </w:rPr>
        <w:t xml:space="preserve"> of the </w:t>
      </w:r>
      <w:r w:rsidR="002A0BE2" w:rsidRPr="002A0BE2">
        <w:rPr>
          <w:i/>
          <w:lang w:val="en-US"/>
        </w:rPr>
        <w:t>SCN1A</w:t>
      </w:r>
      <w:r w:rsidR="002A0BE2">
        <w:rPr>
          <w:lang w:val="en-US"/>
        </w:rPr>
        <w:t xml:space="preserve"> gene</w:t>
      </w:r>
      <w:r w:rsidR="008269F1">
        <w:rPr>
          <w:lang w:val="en-US"/>
        </w:rPr>
        <w:t xml:space="preserve">. </w:t>
      </w:r>
      <w:r w:rsidR="005E77B2">
        <w:rPr>
          <w:lang w:val="en-US"/>
        </w:rPr>
        <w:t xml:space="preserve">It is </w:t>
      </w:r>
      <w:r w:rsidR="002A0BE2">
        <w:rPr>
          <w:lang w:val="en-US"/>
        </w:rPr>
        <w:t xml:space="preserve">predicted </w:t>
      </w:r>
      <w:r w:rsidR="008269F1">
        <w:rPr>
          <w:lang w:val="en-US"/>
        </w:rPr>
        <w:t xml:space="preserve">that this mutation </w:t>
      </w:r>
      <w:r w:rsidR="004F2846">
        <w:rPr>
          <w:lang w:val="en-US"/>
        </w:rPr>
        <w:t>is deleterious</w:t>
      </w:r>
      <w:r w:rsidR="002A0BE2">
        <w:rPr>
          <w:lang w:val="en-US"/>
        </w:rPr>
        <w:t xml:space="preserve"> to </w:t>
      </w:r>
      <w:r w:rsidR="008269F1">
        <w:rPr>
          <w:lang w:val="en-US"/>
        </w:rPr>
        <w:t>protein</w:t>
      </w:r>
      <w:r w:rsidR="002A0BE2">
        <w:rPr>
          <w:lang w:val="en-US"/>
        </w:rPr>
        <w:t xml:space="preserve"> function, since significant domains would be disrupted. This is a</w:t>
      </w:r>
      <w:r w:rsidR="001D7D00">
        <w:rPr>
          <w:lang w:val="en-US"/>
        </w:rPr>
        <w:t>n</w:t>
      </w:r>
      <w:r w:rsidR="002A0BE2">
        <w:rPr>
          <w:lang w:val="en-US"/>
        </w:rPr>
        <w:t xml:space="preserve"> ongoing study, therefore, additional patients are being </w:t>
      </w:r>
      <w:r w:rsidR="005E77B2">
        <w:rPr>
          <w:lang w:val="en-US"/>
        </w:rPr>
        <w:t>analyzed.</w:t>
      </w:r>
      <w:r w:rsidR="00183F96">
        <w:rPr>
          <w:lang w:val="en-US"/>
        </w:rPr>
        <w:t xml:space="preserve"> </w:t>
      </w:r>
    </w:p>
    <w:p w14:paraId="7A968900" w14:textId="2B66BB9A" w:rsidR="00FF5A59" w:rsidRDefault="00FF5A59" w:rsidP="00263FB4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173E28FA" wp14:editId="3C4C0622">
            <wp:extent cx="4698605" cy="1641929"/>
            <wp:effectExtent l="0" t="0" r="63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Tela 2016-02-08 às 17.41.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401" cy="16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E501" w14:textId="1F37D751" w:rsidR="001A72F2" w:rsidRDefault="002A0BE2" w:rsidP="001A72F2">
      <w:pPr>
        <w:spacing w:before="120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2637" wp14:editId="5E274E72">
                <wp:simplePos x="0" y="0"/>
                <wp:positionH relativeFrom="column">
                  <wp:posOffset>59055</wp:posOffset>
                </wp:positionH>
                <wp:positionV relativeFrom="paragraph">
                  <wp:posOffset>20955</wp:posOffset>
                </wp:positionV>
                <wp:extent cx="5716270" cy="566420"/>
                <wp:effectExtent l="0" t="0" r="0" b="508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A1F25" w14:textId="71B9EB8A" w:rsidR="002A0BE2" w:rsidRPr="008C461A" w:rsidRDefault="002A0BE2" w:rsidP="002A0BE2">
                            <w:pPr>
                              <w:spacing w:before="12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461A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Figure</w:t>
                            </w:r>
                            <w:r w:rsidR="001A72F2" w:rsidRPr="008C461A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:</w:t>
                            </w:r>
                            <w:r w:rsidR="001A72F2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Illustration of p</w:t>
                            </w:r>
                            <w:r w:rsidR="001A72F2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robe ratio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1A72F2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in 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the single patient </w:t>
                            </w:r>
                            <w:r w:rsidR="001A72F2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with deletion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in SCN1A</w:t>
                            </w:r>
                            <w:r w:rsidR="00183F96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For reference, it was adopted as normal the interval from ratios 0.</w:t>
                            </w:r>
                            <w:r w:rsidR="008C461A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7-1.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8C461A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, marked by the two red horizontal lines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8C461A"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Dots outside the normal interval 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depict the region where the deletion </w:t>
                            </w:r>
                            <w:r w:rsidR="001D7D0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Pr="008C461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as found</w:t>
                            </w:r>
                            <w:r w:rsidR="008C461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782477E9" w14:textId="16410FDC" w:rsidR="001A72F2" w:rsidRPr="002A0BE2" w:rsidRDefault="001A72F2" w:rsidP="001A72F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2637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4" o:spid="_x0000_s1026" type="#_x0000_t202" style="position:absolute;left:0;text-align:left;margin-left:4.65pt;margin-top:1.65pt;width:450.1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" filled="f" stroked="f">
                <v:textbox>
                  <w:txbxContent>
                    <w:p w14:paraId="590A1F25" w14:textId="71B9EB8A" w:rsidR="002A0BE2" w:rsidRPr="008C461A" w:rsidRDefault="002A0BE2" w:rsidP="002A0BE2">
                      <w:pPr>
                        <w:spacing w:before="12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C461A">
                        <w:rPr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Figure</w:t>
                      </w:r>
                      <w:r w:rsidR="001A72F2" w:rsidRPr="008C461A">
                        <w:rPr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:</w:t>
                      </w:r>
                      <w:r w:rsidR="001A72F2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Illustration of p</w:t>
                      </w:r>
                      <w:r w:rsidR="001A72F2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robe ratio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1A72F2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in 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the single patient </w:t>
                      </w:r>
                      <w:r w:rsidR="001A72F2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with deletion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in SCN1A</w:t>
                      </w:r>
                      <w:r w:rsidR="00183F96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For reference, it was adopted as normal the interval from ratios 0.</w:t>
                      </w:r>
                      <w:r w:rsidR="008C461A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7-1.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8C461A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, marked by the two red horizontal lines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8C461A"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Dots outside the normal interval 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depict the region where the deletion </w:t>
                      </w:r>
                      <w:r w:rsidR="001D7D00">
                        <w:rPr>
                          <w:i/>
                          <w:sz w:val="18"/>
                          <w:szCs w:val="18"/>
                          <w:lang w:val="en-US"/>
                        </w:rPr>
                        <w:t>w</w:t>
                      </w:r>
                      <w:r w:rsidRPr="008C461A">
                        <w:rPr>
                          <w:i/>
                          <w:sz w:val="18"/>
                          <w:szCs w:val="18"/>
                          <w:lang w:val="en-US"/>
                        </w:rPr>
                        <w:t>as found</w:t>
                      </w:r>
                      <w:r w:rsidR="008C461A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782477E9" w14:textId="16410FDC" w:rsidR="001A72F2" w:rsidRPr="002A0BE2" w:rsidRDefault="001A72F2" w:rsidP="001A72F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31DEC" w14:textId="77777777" w:rsidR="001A72F2" w:rsidRPr="001A72F2" w:rsidRDefault="001A72F2" w:rsidP="001A72F2">
      <w:pPr>
        <w:rPr>
          <w:lang w:val="en-US"/>
        </w:rPr>
      </w:pPr>
    </w:p>
    <w:p w14:paraId="632D1C99" w14:textId="77777777" w:rsidR="002A0BE2" w:rsidRDefault="002A0BE2" w:rsidP="001A72F2">
      <w:pPr>
        <w:rPr>
          <w:b/>
          <w:lang w:val="en-US"/>
        </w:rPr>
      </w:pPr>
    </w:p>
    <w:p w14:paraId="6F399056" w14:textId="00DA115A" w:rsidR="00263FB4" w:rsidRPr="00BC0E13" w:rsidRDefault="00263FB4" w:rsidP="00BC0E13">
      <w:pPr>
        <w:jc w:val="left"/>
        <w:rPr>
          <w:rFonts w:eastAsia="Times New Roman"/>
          <w:szCs w:val="24"/>
          <w:lang w:eastAsia="pt-BR"/>
        </w:rPr>
      </w:pPr>
      <w:r w:rsidRPr="00F25A03">
        <w:rPr>
          <w:b/>
          <w:lang w:val="en-US"/>
        </w:rPr>
        <w:t>Discussion</w:t>
      </w:r>
      <w:r w:rsidRPr="00462636">
        <w:rPr>
          <w:b/>
          <w:lang w:val="en-US"/>
        </w:rPr>
        <w:t>:</w:t>
      </w:r>
      <w:r w:rsidR="00BC0E13" w:rsidRPr="00462636"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BC0E13" w:rsidRPr="00462636">
        <w:rPr>
          <w:lang w:val="en-US"/>
        </w:rPr>
        <w:t>The deletion found in this work is po</w:t>
      </w:r>
      <w:bookmarkStart w:id="0" w:name="_GoBack"/>
      <w:bookmarkEnd w:id="0"/>
      <w:r w:rsidR="00BC0E13" w:rsidRPr="00462636">
        <w:rPr>
          <w:lang w:val="en-US"/>
        </w:rPr>
        <w:t xml:space="preserve">ssibly associated with the phenotype of the patient, who was diagnosed with borderline </w:t>
      </w:r>
      <w:proofErr w:type="spellStart"/>
      <w:r w:rsidR="00BC0E13" w:rsidRPr="00462636">
        <w:rPr>
          <w:lang w:val="en-US"/>
        </w:rPr>
        <w:t>Dravet</w:t>
      </w:r>
      <w:proofErr w:type="spellEnd"/>
      <w:r w:rsidR="00BC0E13" w:rsidRPr="00462636">
        <w:rPr>
          <w:lang w:val="en-US"/>
        </w:rPr>
        <w:t xml:space="preserve"> Syndrome</w:t>
      </w:r>
      <w:r w:rsidR="008C461A" w:rsidRPr="00462636">
        <w:rPr>
          <w:lang w:val="en-US"/>
        </w:rPr>
        <w:t xml:space="preserve">. The analysis of the patient family history shows additional </w:t>
      </w:r>
      <w:r w:rsidR="000412A4" w:rsidRPr="00462636">
        <w:rPr>
          <w:lang w:val="en-US"/>
        </w:rPr>
        <w:t xml:space="preserve">family members </w:t>
      </w:r>
      <w:r w:rsidR="008C461A" w:rsidRPr="00462636">
        <w:rPr>
          <w:lang w:val="en-US"/>
        </w:rPr>
        <w:t>with febrile seizures, indicating</w:t>
      </w:r>
      <w:r w:rsidR="008C461A">
        <w:rPr>
          <w:lang w:val="en-US"/>
        </w:rPr>
        <w:t xml:space="preserve"> the most likely diagnosis of</w:t>
      </w:r>
      <w:r w:rsidR="000412A4">
        <w:rPr>
          <w:lang w:val="en-US"/>
        </w:rPr>
        <w:t xml:space="preserve"> </w:t>
      </w:r>
      <w:r w:rsidR="00FF5A59">
        <w:rPr>
          <w:lang w:val="en-US"/>
        </w:rPr>
        <w:t>GEFS+</w:t>
      </w:r>
      <w:r w:rsidR="00695BD9">
        <w:rPr>
          <w:lang w:val="en-US"/>
        </w:rPr>
        <w:t>.</w:t>
      </w:r>
    </w:p>
    <w:p w14:paraId="09EF8E6C" w14:textId="4EDB1733" w:rsidR="00A03790" w:rsidRPr="00F25A03" w:rsidRDefault="00263FB4" w:rsidP="001A72F2">
      <w:pPr>
        <w:spacing w:before="120"/>
        <w:rPr>
          <w:lang w:val="en-US"/>
        </w:rPr>
      </w:pPr>
      <w:r w:rsidRPr="00F25A03">
        <w:rPr>
          <w:b/>
          <w:lang w:val="en-US"/>
        </w:rPr>
        <w:t xml:space="preserve">Conclusion: </w:t>
      </w:r>
      <w:r w:rsidR="00A03790">
        <w:rPr>
          <w:lang w:val="en-US"/>
        </w:rPr>
        <w:t>This work reinforced the importance of analyzing copy number variations, not only point mutations, in patients with C</w:t>
      </w:r>
      <w:r w:rsidR="008C461A">
        <w:rPr>
          <w:lang w:val="en-US"/>
        </w:rPr>
        <w:t xml:space="preserve">EEs other than </w:t>
      </w:r>
      <w:proofErr w:type="spellStart"/>
      <w:r w:rsidR="008C461A">
        <w:rPr>
          <w:lang w:val="en-US"/>
        </w:rPr>
        <w:t>Dravet</w:t>
      </w:r>
      <w:proofErr w:type="spellEnd"/>
      <w:r w:rsidR="008C461A">
        <w:rPr>
          <w:lang w:val="en-US"/>
        </w:rPr>
        <w:t xml:space="preserve"> Syndrome, including patients with GEFS+. Therefore, we can conclude that the clinical spectrum of </w:t>
      </w:r>
      <w:proofErr w:type="spellStart"/>
      <w:r w:rsidR="008C461A">
        <w:rPr>
          <w:lang w:val="en-US"/>
        </w:rPr>
        <w:t>microrearrangements</w:t>
      </w:r>
      <w:proofErr w:type="spellEnd"/>
      <w:r w:rsidR="008C461A">
        <w:rPr>
          <w:lang w:val="en-US"/>
        </w:rPr>
        <w:t xml:space="preserve"> in </w:t>
      </w:r>
      <w:r w:rsidR="008C461A" w:rsidRPr="008C461A">
        <w:rPr>
          <w:i/>
          <w:lang w:val="en-US"/>
        </w:rPr>
        <w:t>SCN1A</w:t>
      </w:r>
      <w:r w:rsidR="008C461A">
        <w:rPr>
          <w:lang w:val="en-US"/>
        </w:rPr>
        <w:t xml:space="preserve"> is broader than previously described. </w:t>
      </w:r>
    </w:p>
    <w:p w14:paraId="13146A65" w14:textId="47B51B38" w:rsidR="001A72F2" w:rsidRPr="001D7D00" w:rsidRDefault="00263FB4" w:rsidP="009848A0">
      <w:pPr>
        <w:spacing w:before="120"/>
        <w:jc w:val="left"/>
        <w:rPr>
          <w:rFonts w:eastAsia="Times New Roman"/>
          <w:szCs w:val="24"/>
          <w:lang w:val="en-US" w:eastAsia="pt-BR"/>
        </w:rPr>
      </w:pPr>
      <w:r w:rsidRPr="008C461A">
        <w:rPr>
          <w:b/>
          <w:sz w:val="20"/>
          <w:szCs w:val="20"/>
          <w:lang w:val="en-US"/>
        </w:rPr>
        <w:t>References:</w:t>
      </w:r>
      <w:r w:rsidR="001A72F2" w:rsidRPr="008C461A">
        <w:rPr>
          <w:b/>
          <w:sz w:val="20"/>
          <w:szCs w:val="20"/>
          <w:lang w:val="en-US"/>
        </w:rPr>
        <w:t xml:space="preserve"> </w:t>
      </w:r>
      <w:r w:rsidR="006F5CBC" w:rsidRPr="001D7D00">
        <w:rPr>
          <w:sz w:val="20"/>
          <w:szCs w:val="20"/>
          <w:lang w:val="en-US"/>
        </w:rPr>
        <w:t xml:space="preserve">[1] </w:t>
      </w:r>
      <w:r w:rsidR="006F5CBC" w:rsidRPr="001D7D00">
        <w:rPr>
          <w:rFonts w:eastAsia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PANAYIOTOPOULOS, C.P., </w:t>
      </w:r>
      <w:r w:rsidR="006F5CBC" w:rsidRPr="001D7D00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“</w:t>
      </w:r>
      <w:r w:rsidR="006F5CBC" w:rsidRPr="001D7D00">
        <w:rPr>
          <w:rFonts w:eastAsia="Times New Roman"/>
          <w:color w:val="000000"/>
          <w:sz w:val="20"/>
          <w:szCs w:val="20"/>
          <w:lang w:val="en-US"/>
        </w:rPr>
        <w:t xml:space="preserve">The Epilepsies - </w:t>
      </w:r>
      <w:r w:rsidR="006F5CBC" w:rsidRPr="001D7D00">
        <w:rPr>
          <w:rFonts w:eastAsia="Times New Roman"/>
          <w:bCs/>
          <w:color w:val="000000"/>
          <w:sz w:val="20"/>
          <w:szCs w:val="20"/>
          <w:shd w:val="clear" w:color="auto" w:fill="FFFFFF"/>
          <w:lang w:val="en-US" w:eastAsia="pt-BR"/>
        </w:rPr>
        <w:t>Seizures, Syndromes and Management”, 2005;</w:t>
      </w:r>
      <w:r w:rsidR="006F5CBC" w:rsidRPr="001D7D00">
        <w:rPr>
          <w:sz w:val="20"/>
          <w:szCs w:val="20"/>
          <w:lang w:val="en-US"/>
        </w:rPr>
        <w:t xml:space="preserve"> [2</w:t>
      </w:r>
      <w:r w:rsidR="001A72F2" w:rsidRPr="001D7D00">
        <w:rPr>
          <w:sz w:val="20"/>
          <w:szCs w:val="20"/>
          <w:lang w:val="en-US"/>
        </w:rPr>
        <w:t>] CAMFIELD, P. R., CAMFIELD, C. S., Pediatric Neurology 51:17-23, 2014</w:t>
      </w:r>
      <w:r w:rsidR="001A72F2" w:rsidRPr="001D7D00">
        <w:rPr>
          <w:color w:val="000000" w:themeColor="text1"/>
          <w:sz w:val="20"/>
          <w:szCs w:val="20"/>
          <w:lang w:val="en-US"/>
        </w:rPr>
        <w:t>;</w:t>
      </w:r>
      <w:r w:rsidR="001A72F2" w:rsidRPr="001D7D00">
        <w:rPr>
          <w:sz w:val="20"/>
          <w:szCs w:val="20"/>
          <w:lang w:val="en-US"/>
        </w:rPr>
        <w:t xml:space="preserve"> </w:t>
      </w:r>
      <w:r w:rsidR="006F5CBC" w:rsidRPr="001D7D00">
        <w:rPr>
          <w:sz w:val="20"/>
          <w:szCs w:val="20"/>
          <w:lang w:val="en-US"/>
        </w:rPr>
        <w:t>[3] GONSALES, M. C.</w:t>
      </w:r>
      <w:r w:rsidR="00106E92" w:rsidRPr="001D7D00">
        <w:rPr>
          <w:sz w:val="20"/>
          <w:szCs w:val="20"/>
          <w:lang w:val="en-US"/>
        </w:rPr>
        <w:t xml:space="preserve"> et al.</w:t>
      </w:r>
      <w:r w:rsidR="006F5CBC" w:rsidRPr="001D7D00">
        <w:rPr>
          <w:sz w:val="20"/>
          <w:szCs w:val="20"/>
          <w:lang w:val="en-US"/>
        </w:rPr>
        <w:t xml:space="preserve">, </w:t>
      </w:r>
      <w:proofErr w:type="spellStart"/>
      <w:r w:rsidR="006F5CBC" w:rsidRPr="001D7D00">
        <w:rPr>
          <w:rFonts w:eastAsia="Times New Roman"/>
          <w:sz w:val="20"/>
          <w:szCs w:val="20"/>
          <w:lang w:val="en-US" w:eastAsia="pt-BR"/>
        </w:rPr>
        <w:t>Arq</w:t>
      </w:r>
      <w:proofErr w:type="spellEnd"/>
      <w:r w:rsidR="006F5CBC" w:rsidRPr="001D7D00">
        <w:rPr>
          <w:rFonts w:eastAsia="Times New Roman"/>
          <w:sz w:val="20"/>
          <w:szCs w:val="20"/>
          <w:lang w:val="en-US" w:eastAsia="pt-BR"/>
        </w:rPr>
        <w:t xml:space="preserve"> </w:t>
      </w:r>
      <w:proofErr w:type="spellStart"/>
      <w:r w:rsidR="006F5CBC" w:rsidRPr="001D7D00">
        <w:rPr>
          <w:rFonts w:eastAsia="Times New Roman"/>
          <w:sz w:val="20"/>
          <w:szCs w:val="20"/>
          <w:lang w:val="en-US" w:eastAsia="pt-BR"/>
        </w:rPr>
        <w:t>Neuropsiquiatr</w:t>
      </w:r>
      <w:proofErr w:type="spellEnd"/>
      <w:r w:rsidR="006F5CBC" w:rsidRPr="001D7D00">
        <w:rPr>
          <w:rFonts w:eastAsia="Times New Roman"/>
          <w:sz w:val="20"/>
          <w:szCs w:val="20"/>
          <w:lang w:val="en-US" w:eastAsia="pt-BR"/>
        </w:rPr>
        <w:t xml:space="preserve"> 73 (11):1-13, 2015;</w:t>
      </w:r>
      <w:r w:rsidR="001A72F2" w:rsidRPr="008C461A">
        <w:rPr>
          <w:sz w:val="20"/>
          <w:szCs w:val="20"/>
          <w:lang w:val="en-US"/>
        </w:rPr>
        <w:t>[</w:t>
      </w:r>
      <w:r w:rsidR="006F5CBC" w:rsidRPr="008C461A">
        <w:rPr>
          <w:sz w:val="20"/>
          <w:szCs w:val="20"/>
          <w:lang w:val="en-US"/>
        </w:rPr>
        <w:t>4</w:t>
      </w:r>
      <w:r w:rsidRPr="008C461A">
        <w:rPr>
          <w:sz w:val="20"/>
          <w:szCs w:val="20"/>
          <w:lang w:val="en-US"/>
        </w:rPr>
        <w:t>]</w:t>
      </w:r>
      <w:r w:rsidR="001A72F2" w:rsidRPr="001D7D00">
        <w:rPr>
          <w:sz w:val="20"/>
          <w:szCs w:val="20"/>
          <w:lang w:val="en-US"/>
        </w:rPr>
        <w:t xml:space="preserve"> SCHEFFER,</w:t>
      </w:r>
      <w:r w:rsidRPr="008C461A">
        <w:rPr>
          <w:sz w:val="20"/>
          <w:szCs w:val="20"/>
          <w:lang w:val="en-US"/>
        </w:rPr>
        <w:t xml:space="preserve"> </w:t>
      </w:r>
      <w:r w:rsidR="001A72F2" w:rsidRPr="001D7D00">
        <w:rPr>
          <w:sz w:val="20"/>
          <w:szCs w:val="20"/>
          <w:lang w:val="en-US"/>
        </w:rPr>
        <w:t>I. E., BERKOVIC, S. F., Brain 120:</w:t>
      </w:r>
      <w:r w:rsidR="001A72F2" w:rsidRPr="001D7D00">
        <w:rPr>
          <w:b/>
          <w:bCs/>
          <w:sz w:val="20"/>
          <w:szCs w:val="20"/>
          <w:lang w:val="en-US"/>
        </w:rPr>
        <w:t xml:space="preserve"> </w:t>
      </w:r>
      <w:r w:rsidR="001A72F2" w:rsidRPr="001D7D00">
        <w:rPr>
          <w:sz w:val="20"/>
          <w:szCs w:val="20"/>
          <w:lang w:val="en-US"/>
        </w:rPr>
        <w:t>479–490, 1997; [</w:t>
      </w:r>
      <w:r w:rsidR="006F5CBC" w:rsidRPr="001D7D00">
        <w:rPr>
          <w:sz w:val="20"/>
          <w:szCs w:val="20"/>
          <w:lang w:val="en-US"/>
        </w:rPr>
        <w:t>5</w:t>
      </w:r>
      <w:r w:rsidR="001A72F2" w:rsidRPr="001D7D00">
        <w:rPr>
          <w:sz w:val="20"/>
          <w:szCs w:val="20"/>
          <w:lang w:val="en-US"/>
        </w:rPr>
        <w:t xml:space="preserve">] CAMFIELD, P. R., CAMFIELD, C. S., Epileptic </w:t>
      </w:r>
      <w:proofErr w:type="spellStart"/>
      <w:r w:rsidR="001A72F2" w:rsidRPr="001D7D00">
        <w:rPr>
          <w:sz w:val="20"/>
          <w:szCs w:val="20"/>
          <w:lang w:val="en-US"/>
        </w:rPr>
        <w:t>Disord</w:t>
      </w:r>
      <w:proofErr w:type="spellEnd"/>
      <w:r w:rsidR="001A72F2" w:rsidRPr="001D7D00">
        <w:rPr>
          <w:sz w:val="20"/>
          <w:szCs w:val="20"/>
          <w:lang w:val="en-US"/>
        </w:rPr>
        <w:t xml:space="preserve"> 17 (2): 124-133, 2015</w:t>
      </w:r>
      <w:r w:rsidR="006F5CBC" w:rsidRPr="001D7D00">
        <w:rPr>
          <w:szCs w:val="24"/>
          <w:lang w:val="en-US"/>
        </w:rPr>
        <w:t>.</w:t>
      </w:r>
    </w:p>
    <w:sectPr w:rsidR="001A72F2" w:rsidRPr="001D7D00" w:rsidSect="00C33D5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F97E" w14:textId="77777777" w:rsidR="004226C7" w:rsidRDefault="004226C7" w:rsidP="00743343">
      <w:r>
        <w:separator/>
      </w:r>
    </w:p>
  </w:endnote>
  <w:endnote w:type="continuationSeparator" w:id="0">
    <w:p w14:paraId="58141FC8" w14:textId="77777777" w:rsidR="004226C7" w:rsidRDefault="004226C7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9122" w14:textId="77777777" w:rsidR="004226C7" w:rsidRDefault="004226C7" w:rsidP="00743343">
      <w:r>
        <w:separator/>
      </w:r>
    </w:p>
  </w:footnote>
  <w:footnote w:type="continuationSeparator" w:id="0">
    <w:p w14:paraId="5610C622" w14:textId="77777777" w:rsidR="004226C7" w:rsidRDefault="004226C7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6EEC" w14:textId="697C71FE" w:rsidR="00743343" w:rsidRPr="000557A7" w:rsidRDefault="002B42B8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85CE4" wp14:editId="3D907244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317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8FD84" w14:textId="77777777"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1A827990" w14:textId="77777777"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1A7E3D2A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85CE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MMo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TrYjopZ+l8kmblsrxIi7K4WX8PAWZF1QrGuLoVih86MCv+juGnWRh7J/Yg6mtcTvPp&#10;SNEfk0zj97skO+FhIKXoajw/GpEqEPtGMUibVJ4IOe6Tl+HHkkENDv9YldgGgfmxB/ywGQAl9MZG&#10;swdoCKuBL2AdXhHYtNp+w6iHiayx+7ojlmMk3yloqjIrijDCUSimsxwEe6rZnGqIogBVY4/RuF35&#10;cex3xoptC57GNlb6GhqxEbFHnqOCFIIAUxeTeXohwlifytHq+R1b/A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nbWM&#10;MoQCAAAPBQAADgAAAAAAAAAAAAAAAAAsAgAAZHJzL2Uyb0RvYy54bWxQSwECLQAUAAYACAAAACEA&#10;xSXI+d8AAAALAQAADwAAAAAAAAAAAAAAAADcBAAAZHJzL2Rvd25yZXYueG1sUEsFBgAAAAAEAAQA&#10;8wAAAOgFAAAAAA==&#10;" stroked="f">
              <v:textbox>
                <w:txbxContent>
                  <w:p w14:paraId="37D8FD84" w14:textId="77777777"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1A827990" w14:textId="77777777"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1A7E3D2A" w14:textId="77777777"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E07D7A" wp14:editId="7A3AABAD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12A4"/>
    <w:rsid w:val="00042C87"/>
    <w:rsid w:val="000557A7"/>
    <w:rsid w:val="0009797F"/>
    <w:rsid w:val="000D4088"/>
    <w:rsid w:val="00102007"/>
    <w:rsid w:val="00106E92"/>
    <w:rsid w:val="00183F96"/>
    <w:rsid w:val="001A72F2"/>
    <w:rsid w:val="001D7D00"/>
    <w:rsid w:val="00262DE0"/>
    <w:rsid w:val="00263FB4"/>
    <w:rsid w:val="00264FBA"/>
    <w:rsid w:val="002A0BE2"/>
    <w:rsid w:val="002B42B8"/>
    <w:rsid w:val="002C3BE6"/>
    <w:rsid w:val="002E5535"/>
    <w:rsid w:val="002F1EA5"/>
    <w:rsid w:val="003464E6"/>
    <w:rsid w:val="003513A8"/>
    <w:rsid w:val="003B0DB9"/>
    <w:rsid w:val="004061C0"/>
    <w:rsid w:val="004226C7"/>
    <w:rsid w:val="00462636"/>
    <w:rsid w:val="00463BB7"/>
    <w:rsid w:val="004647A5"/>
    <w:rsid w:val="0049470E"/>
    <w:rsid w:val="00495481"/>
    <w:rsid w:val="004D3FC7"/>
    <w:rsid w:val="004F2846"/>
    <w:rsid w:val="00501846"/>
    <w:rsid w:val="005D1A27"/>
    <w:rsid w:val="005E1B59"/>
    <w:rsid w:val="005E77B2"/>
    <w:rsid w:val="00661827"/>
    <w:rsid w:val="00695BD9"/>
    <w:rsid w:val="00697F8C"/>
    <w:rsid w:val="006F5CBC"/>
    <w:rsid w:val="00743343"/>
    <w:rsid w:val="00754388"/>
    <w:rsid w:val="0078670F"/>
    <w:rsid w:val="007B35CF"/>
    <w:rsid w:val="008269F1"/>
    <w:rsid w:val="00832B02"/>
    <w:rsid w:val="0083568D"/>
    <w:rsid w:val="008853C3"/>
    <w:rsid w:val="008C461A"/>
    <w:rsid w:val="008E6A02"/>
    <w:rsid w:val="00956742"/>
    <w:rsid w:val="009848A0"/>
    <w:rsid w:val="009B6C5A"/>
    <w:rsid w:val="009C2FC7"/>
    <w:rsid w:val="009D31FC"/>
    <w:rsid w:val="00A03790"/>
    <w:rsid w:val="00A25F3B"/>
    <w:rsid w:val="00AD5A4B"/>
    <w:rsid w:val="00B12FDF"/>
    <w:rsid w:val="00B52F14"/>
    <w:rsid w:val="00B64A0D"/>
    <w:rsid w:val="00B74B27"/>
    <w:rsid w:val="00B750F9"/>
    <w:rsid w:val="00B958F8"/>
    <w:rsid w:val="00BC0E13"/>
    <w:rsid w:val="00BE4449"/>
    <w:rsid w:val="00C171DE"/>
    <w:rsid w:val="00C33D59"/>
    <w:rsid w:val="00C85417"/>
    <w:rsid w:val="00C93DAB"/>
    <w:rsid w:val="00CB2CAB"/>
    <w:rsid w:val="00CE69F4"/>
    <w:rsid w:val="00D106B5"/>
    <w:rsid w:val="00DD354A"/>
    <w:rsid w:val="00E24564"/>
    <w:rsid w:val="00E27065"/>
    <w:rsid w:val="00EA6C72"/>
    <w:rsid w:val="00EC2A67"/>
    <w:rsid w:val="00ED1ECA"/>
    <w:rsid w:val="00F25A03"/>
    <w:rsid w:val="00F52674"/>
    <w:rsid w:val="00FB307A"/>
    <w:rsid w:val="00FB6EFE"/>
    <w:rsid w:val="00FF33E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2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F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1A72F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56742"/>
  </w:style>
  <w:style w:type="character" w:styleId="Hiperlink">
    <w:name w:val="Hyperlink"/>
    <w:basedOn w:val="Fontepargpadro"/>
    <w:uiPriority w:val="99"/>
    <w:semiHidden/>
    <w:unhideWhenUsed/>
    <w:rsid w:val="0095674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A72F2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2697</Characters>
  <Application>Microsoft Macintosh Word</Application>
  <DocSecurity>0</DocSecurity>
  <Lines>50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Usuário do Microsoft Office</cp:lastModifiedBy>
  <cp:revision>4</cp:revision>
  <dcterms:created xsi:type="dcterms:W3CDTF">2016-03-10T17:01:00Z</dcterms:created>
  <dcterms:modified xsi:type="dcterms:W3CDTF">2016-03-11T19:28:00Z</dcterms:modified>
</cp:coreProperties>
</file>