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center"/>
        <w:rPr>
          <w:b w:val="1"/>
          <w:bCs w:val="1"/>
          <w:sz w:val="28"/>
          <w:szCs w:val="28"/>
        </w:rPr>
      </w:pPr>
      <w:r>
        <w:rPr>
          <w:b w:val="1"/>
          <w:bCs w:val="1"/>
          <w:sz w:val="28"/>
          <w:szCs w:val="28"/>
          <w:rtl w:val="0"/>
          <w:lang w:val="en-US"/>
        </w:rPr>
        <w:t>Diffusion tensor imaging of corticospinal tract, cingulum and corpus callosum in Parkinson</w:t>
      </w:r>
      <w:r>
        <w:rPr>
          <w:b w:val="1"/>
          <w:bCs w:val="1"/>
          <w:sz w:val="28"/>
          <w:szCs w:val="28"/>
          <w:rtl w:val="0"/>
          <w:lang w:val="en-US"/>
        </w:rPr>
        <w:t>'</w:t>
      </w:r>
      <w:r>
        <w:rPr>
          <w:b w:val="1"/>
          <w:bCs w:val="1"/>
          <w:sz w:val="28"/>
          <w:szCs w:val="28"/>
          <w:rtl w:val="0"/>
          <w:lang w:val="en-US"/>
        </w:rPr>
        <w:t>s Disease (PD) Patients</w:t>
      </w:r>
    </w:p>
    <w:p>
      <w:pPr>
        <w:pStyle w:val="Corpo"/>
        <w:jc w:val="center"/>
        <w:rPr>
          <w:lang w:val="en-US"/>
        </w:rPr>
      </w:pPr>
    </w:p>
    <w:p>
      <w:pPr>
        <w:pStyle w:val="Padrã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 Guimar</w:t>
      </w:r>
      <w:r>
        <w:rPr>
          <w:rFonts w:ascii="Times New Roman" w:hAnsi="Times New Roman" w:hint="default"/>
          <w:sz w:val="24"/>
          <w:szCs w:val="24"/>
          <w:rtl w:val="0"/>
          <w:lang w:val="en-US"/>
        </w:rPr>
        <w:t>ã</w:t>
      </w:r>
      <w:r>
        <w:rPr>
          <w:rFonts w:ascii="Times New Roman" w:hAnsi="Times New Roman"/>
          <w:sz w:val="24"/>
          <w:szCs w:val="24"/>
          <w:rtl w:val="0"/>
          <w:lang w:val="en-US"/>
        </w:rPr>
        <w:t>es</w:t>
      </w:r>
      <w:r>
        <w:rPr>
          <w:rFonts w:ascii="Times New Roman" w:hAnsi="Times New Roman"/>
          <w:sz w:val="24"/>
          <w:szCs w:val="24"/>
          <w:vertAlign w:val="superscript"/>
          <w:rtl w:val="0"/>
          <w:lang w:val="en-US"/>
        </w:rPr>
        <w:t>1</w:t>
      </w:r>
      <w:r>
        <w:rPr>
          <w:rFonts w:ascii="Times New Roman" w:hAnsi="Times New Roman"/>
          <w:sz w:val="24"/>
          <w:szCs w:val="24"/>
          <w:rtl w:val="0"/>
          <w:lang w:val="en-US"/>
        </w:rPr>
        <w:t>, B. Campos</w:t>
      </w:r>
      <w:r>
        <w:rPr>
          <w:rFonts w:ascii="Times New Roman" w:hAnsi="Times New Roman"/>
          <w:sz w:val="24"/>
          <w:szCs w:val="24"/>
          <w:vertAlign w:val="superscript"/>
          <w:rtl w:val="0"/>
          <w:lang w:val="en-US"/>
        </w:rPr>
        <w:t>1</w:t>
      </w:r>
      <w:r>
        <w:rPr>
          <w:rFonts w:ascii="Times New Roman" w:hAnsi="Times New Roman"/>
          <w:sz w:val="24"/>
          <w:szCs w:val="24"/>
          <w:rtl w:val="0"/>
          <w:lang w:val="en-US"/>
        </w:rPr>
        <w:t>, L. Campos</w:t>
      </w:r>
      <w:r>
        <w:rPr>
          <w:rFonts w:ascii="Times New Roman" w:hAnsi="Times New Roman"/>
          <w:sz w:val="24"/>
          <w:szCs w:val="24"/>
          <w:vertAlign w:val="superscript"/>
          <w:rtl w:val="0"/>
          <w:lang w:val="en-US"/>
        </w:rPr>
        <w:t>2</w:t>
      </w:r>
      <w:r>
        <w:rPr>
          <w:rFonts w:ascii="Times New Roman" w:hAnsi="Times New Roman"/>
          <w:sz w:val="24"/>
          <w:szCs w:val="24"/>
          <w:rtl w:val="0"/>
          <w:lang w:val="en-US"/>
        </w:rPr>
        <w:t>, L Piovesana</w:t>
      </w:r>
      <w:r>
        <w:rPr>
          <w:rFonts w:ascii="Times New Roman" w:hAnsi="Times New Roman"/>
          <w:sz w:val="24"/>
          <w:szCs w:val="24"/>
          <w:vertAlign w:val="superscript"/>
          <w:rtl w:val="0"/>
          <w:lang w:val="en-US"/>
        </w:rPr>
        <w:t>2</w:t>
      </w:r>
      <w:r>
        <w:rPr>
          <w:rFonts w:ascii="Times New Roman" w:hAnsi="Times New Roman"/>
          <w:sz w:val="24"/>
          <w:szCs w:val="24"/>
          <w:rtl w:val="0"/>
          <w:lang w:val="en-US"/>
        </w:rPr>
        <w:t>, P. Azevedo</w:t>
      </w:r>
      <w:r>
        <w:rPr>
          <w:rFonts w:ascii="Times New Roman" w:hAnsi="Times New Roman"/>
          <w:sz w:val="24"/>
          <w:szCs w:val="24"/>
          <w:vertAlign w:val="superscript"/>
          <w:rtl w:val="0"/>
          <w:lang w:val="en-US"/>
        </w:rPr>
        <w:t>2</w:t>
      </w:r>
      <w:r>
        <w:rPr>
          <w:rFonts w:ascii="Times New Roman" w:hAnsi="Times New Roman"/>
          <w:sz w:val="24"/>
          <w:szCs w:val="24"/>
          <w:rtl w:val="0"/>
          <w:lang w:val="en-US"/>
        </w:rPr>
        <w:t>, A. D</w:t>
      </w:r>
      <w:r>
        <w:rPr>
          <w:rFonts w:ascii="Times New Roman" w:hAnsi="Times New Roman" w:hint="default"/>
          <w:sz w:val="24"/>
          <w:szCs w:val="24"/>
          <w:rtl w:val="0"/>
          <w:lang w:val="en-US"/>
        </w:rPr>
        <w:t>’</w:t>
      </w:r>
      <w:r>
        <w:rPr>
          <w:rFonts w:ascii="Times New Roman" w:hAnsi="Times New Roman"/>
          <w:sz w:val="24"/>
          <w:szCs w:val="24"/>
          <w:rtl w:val="0"/>
          <w:lang w:val="en-US"/>
        </w:rPr>
        <w:t>Abreu</w:t>
      </w:r>
      <w:r>
        <w:rPr>
          <w:rFonts w:ascii="Times New Roman" w:hAnsi="Times New Roman"/>
          <w:sz w:val="24"/>
          <w:szCs w:val="24"/>
          <w:vertAlign w:val="superscript"/>
          <w:rtl w:val="0"/>
          <w:lang w:val="en-US"/>
        </w:rPr>
        <w:t>1,2</w:t>
      </w:r>
      <w:r>
        <w:rPr>
          <w:rFonts w:ascii="Times New Roman" w:hAnsi="Times New Roman"/>
          <w:sz w:val="24"/>
          <w:szCs w:val="24"/>
          <w:rtl w:val="0"/>
          <w:lang w:val="en-US"/>
        </w:rPr>
        <w:t>, F. Cendes</w:t>
      </w:r>
      <w:r>
        <w:rPr>
          <w:rFonts w:ascii="Times New Roman" w:hAnsi="Times New Roman"/>
          <w:sz w:val="24"/>
          <w:szCs w:val="24"/>
          <w:vertAlign w:val="superscript"/>
          <w:rtl w:val="0"/>
          <w:lang w:val="en-US"/>
        </w:rPr>
        <w:t>1,2</w:t>
      </w:r>
      <w:r>
        <w:rPr>
          <w:rFonts w:ascii="Times New Roman" w:hAnsi="Times New Roman"/>
          <w:sz w:val="24"/>
          <w:szCs w:val="24"/>
          <w:rtl w:val="0"/>
          <w:lang w:val="en-US"/>
        </w:rPr>
        <w:t>.</w:t>
      </w:r>
    </w:p>
    <w:p>
      <w:pPr>
        <w:pStyle w:val="Corpo"/>
        <w:jc w:val="center"/>
        <w:rPr>
          <w:sz w:val="20"/>
          <w:szCs w:val="20"/>
        </w:rPr>
      </w:pPr>
      <w:r>
        <w:rPr>
          <w:sz w:val="20"/>
          <w:szCs w:val="20"/>
          <w:vertAlign w:val="superscript"/>
          <w:rtl w:val="0"/>
          <w:lang w:val="en-US"/>
        </w:rPr>
        <w:t>1</w:t>
      </w:r>
      <w:r>
        <w:rPr>
          <w:sz w:val="20"/>
          <w:szCs w:val="20"/>
          <w:rtl w:val="0"/>
          <w:lang w:val="en-US"/>
        </w:rPr>
        <w:t>Laboratory of Neuroimaging</w:t>
      </w:r>
      <w:r>
        <w:rPr>
          <w:sz w:val="20"/>
          <w:szCs w:val="20"/>
          <w:rtl w:val="0"/>
          <w:lang w:val="en-US"/>
        </w:rPr>
        <w:t xml:space="preserve">, UNICAMP, </w:t>
      </w:r>
      <w:r>
        <w:rPr>
          <w:sz w:val="20"/>
          <w:szCs w:val="20"/>
          <w:vertAlign w:val="superscript"/>
          <w:rtl w:val="0"/>
          <w:lang w:val="en-US"/>
        </w:rPr>
        <w:t>2</w:t>
      </w:r>
      <w:r>
        <w:rPr>
          <w:sz w:val="20"/>
          <w:szCs w:val="20"/>
          <w:rtl w:val="0"/>
          <w:lang w:val="en-US"/>
        </w:rPr>
        <w:t>Neurology</w:t>
      </w:r>
      <w:r>
        <w:rPr>
          <w:sz w:val="20"/>
          <w:szCs w:val="20"/>
          <w:rtl w:val="0"/>
          <w:lang w:val="en-US"/>
        </w:rPr>
        <w:t xml:space="preserve"> Dept., FCM, UNICAMP,</w:t>
      </w:r>
    </w:p>
    <w:p>
      <w:pPr>
        <w:pStyle w:val="Corpo"/>
        <w:jc w:val="center"/>
        <w:rPr>
          <w:lang w:val="en-US"/>
        </w:rPr>
      </w:pPr>
    </w:p>
    <w:p>
      <w:pPr>
        <w:pStyle w:val="Corpo"/>
      </w:pPr>
      <w:r>
        <w:rPr>
          <w:b w:val="1"/>
          <w:bCs w:val="1"/>
          <w:rtl w:val="0"/>
          <w:lang w:val="en-US"/>
        </w:rPr>
        <w:t>Introduction:</w:t>
      </w:r>
      <w:r>
        <w:rPr>
          <w:rtl w:val="0"/>
          <w:lang w:val="en-US"/>
        </w:rPr>
        <w:t xml:space="preserve"> Considering the variability of symptoms of Parkinson</w:t>
      </w:r>
      <w:r>
        <w:rPr>
          <w:rtl w:val="0"/>
          <w:lang w:val="en-US"/>
        </w:rPr>
        <w:t>’</w:t>
      </w:r>
      <w:r>
        <w:rPr>
          <w:rtl w:val="0"/>
          <w:lang w:val="en-US"/>
        </w:rPr>
        <w:t>s disease (PD) and the still unclear etiology, MRI-based studies are important tools to better understand the mechanisms behind the disease</w:t>
      </w:r>
      <w:r>
        <w:rPr>
          <w:rtl w:val="0"/>
        </w:rPr>
        <w:t xml:space="preserve"> </w:t>
      </w:r>
      <w:r>
        <w:rPr>
          <w:rtl w:val="0"/>
          <w:lang w:val="en-US"/>
        </w:rPr>
        <w:t>[1]. Diffusion tensor imaging (DTI) is a valuable tool to assess abnormalities in PD</w:t>
      </w:r>
      <w:r>
        <w:rPr>
          <w:rtl w:val="0"/>
          <w:lang w:val="en-US"/>
        </w:rPr>
        <w:t xml:space="preserve"> [2]</w:t>
      </w:r>
      <w:r>
        <w:rPr>
          <w:rtl w:val="0"/>
          <w:lang w:val="en-US"/>
        </w:rPr>
        <w:t>, especially in early stages. Previous studies demonstrated fractional anisotropy (FA) reduction in substantia nigra, globus pallidus, thalamus, uncinate fasciculus, superior longitudinal fasciculus and thalamic radiation</w:t>
      </w:r>
      <w:r>
        <w:rPr>
          <w:rtl w:val="0"/>
          <w:lang w:val="en-US"/>
        </w:rPr>
        <w:t xml:space="preserve"> [3]</w:t>
      </w:r>
      <w:r>
        <w:rPr>
          <w:rtl w:val="0"/>
          <w:lang w:val="en-US"/>
        </w:rPr>
        <w:t>.</w:t>
      </w:r>
      <w:r>
        <w:rPr>
          <w:rtl w:val="0"/>
          <w:lang w:val="en-US"/>
        </w:rPr>
        <w:t xml:space="preserve"> Our main objective was t</w:t>
      </w:r>
      <w:r>
        <w:rPr>
          <w:rtl w:val="0"/>
          <w:lang w:val="en-US"/>
        </w:rPr>
        <w:t xml:space="preserve">o evaluate </w:t>
      </w:r>
      <w:r>
        <w:rPr>
          <w:u w:color="403737"/>
          <w:rtl w:val="0"/>
          <w:lang w:val="en-US"/>
        </w:rPr>
        <w:t>white matter tractography</w:t>
      </w:r>
      <w:r>
        <w:rPr>
          <w:u w:color="403737"/>
          <w:rtl w:val="0"/>
          <w:lang w:val="en-US"/>
        </w:rPr>
        <w:t xml:space="preserve"> of the corticospinal tract, cingulum and corpus callosum in PD.</w:t>
      </w:r>
    </w:p>
    <w:p>
      <w:pPr>
        <w:pStyle w:val="Corpo"/>
      </w:pPr>
      <w:r>
        <w:rPr>
          <w:b w:val="1"/>
          <w:bCs w:val="1"/>
          <w:rtl w:val="0"/>
          <w:lang w:val="en-US"/>
        </w:rPr>
        <w:t>Materials and Methods:</w:t>
      </w:r>
      <w:r>
        <w:rPr>
          <w:rtl w:val="0"/>
          <w:lang w:val="en-US"/>
        </w:rPr>
        <w:t xml:space="preserve"> </w:t>
      </w:r>
      <w:r>
        <w:rPr>
          <w:u w:color="403737"/>
          <w:rtl w:val="0"/>
          <w:lang w:val="en-US"/>
        </w:rPr>
        <w:t>58 patients with PD (42 men, mean age 60.3 years, SD 8.99; average disease duration 7.88, SD 6.29) and 33 healthy subjects (mean age 57.8 years, SD 10.59) underwent the same MRI protocol, and 46 patients were assessed by clinical scales and a complete neurological evaluation. We performed DTI</w:t>
      </w:r>
      <w:r>
        <w:rPr>
          <w:u w:color="403737"/>
          <w:rtl w:val="0"/>
          <w:lang w:val="en-US"/>
        </w:rPr>
        <w:t xml:space="preserve"> analysis using the ExploreDTI software</w:t>
      </w:r>
      <w:r>
        <w:rPr>
          <w:u w:color="403737"/>
          <w:rtl w:val="0"/>
          <w:lang w:val="en-US"/>
        </w:rPr>
        <w:t xml:space="preserve"> to compare PD patients and controls. </w:t>
      </w:r>
      <w:r>
        <w:rPr>
          <w:u w:color="403737"/>
          <w:rtl w:val="0"/>
          <w:lang w:val="en-US"/>
        </w:rPr>
        <w:t>After the initial analysis we divided</w:t>
      </w:r>
      <w:r>
        <w:rPr>
          <w:u w:color="403737"/>
          <w:rtl w:val="0"/>
          <w:lang w:val="en-US"/>
        </w:rPr>
        <w:t xml:space="preserve"> patients into early PD, moderate PD and severe PD.</w:t>
      </w:r>
      <w:r>
        <w:rPr>
          <w:u w:color="403737"/>
          <w:rtl w:val="0"/>
          <w:lang w:val="en-US"/>
        </w:rPr>
        <w:t xml:space="preserve"> For statistical analysis we used Stata </w:t>
      </w:r>
      <w:r>
        <w:rPr>
          <w:rtl w:val="0"/>
          <w:lang w:val="en-US"/>
        </w:rPr>
        <w:t xml:space="preserve">13.1 </w:t>
      </w:r>
      <w:r>
        <w:rPr>
          <w:rtl w:val="0"/>
        </w:rPr>
        <w:t>(</w:t>
      </w:r>
      <w:r>
        <w:rPr/>
        <w:fldChar w:fldCharType="begin" w:fldLock="0"/>
      </w:r>
      <w:r>
        <w:instrText xml:space="preserve"> HYPERLINK "http://www.stata.com"</w:instrText>
      </w:r>
      <w:r>
        <w:rPr/>
        <w:fldChar w:fldCharType="separate" w:fldLock="0"/>
      </w:r>
      <w:r>
        <w:rPr>
          <w:rtl w:val="0"/>
          <w:lang w:val="de-DE"/>
        </w:rPr>
        <w:t>http://www.stata.com</w:t>
      </w:r>
      <w:r>
        <w:rPr/>
        <w:fldChar w:fldCharType="end" w:fldLock="0"/>
      </w:r>
      <w:r>
        <w:rPr>
          <w:u w:color="222222"/>
          <w:rtl w:val="0"/>
          <w:lang w:val="en-US"/>
        </w:rPr>
        <w:t>).</w:t>
      </w:r>
    </w:p>
    <w:p>
      <w:pPr>
        <w:pStyle w:val="Corpo"/>
        <w:rPr>
          <w:u w:color="403737"/>
          <w:lang w:val="en-US"/>
        </w:rPr>
      </w:pPr>
      <w:r>
        <w:rPr>
          <w:b w:val="1"/>
          <w:bCs w:val="1"/>
          <w:rtl w:val="0"/>
          <w:lang w:val="en-US"/>
        </w:rPr>
        <w:t>Results:</w:t>
      </w:r>
      <w:r>
        <w:rPr>
          <w:rtl w:val="0"/>
          <w:lang w:val="en-US"/>
        </w:rPr>
        <w:t xml:space="preserve"> </w:t>
      </w:r>
      <w:r>
        <w:rPr>
          <w:rtl w:val="0"/>
          <w:lang w:val="en-US"/>
        </w:rPr>
        <w:t>W</w:t>
      </w:r>
      <w:r>
        <w:rPr>
          <w:u w:color="403737"/>
          <w:rtl w:val="0"/>
          <w:lang w:val="en-US"/>
        </w:rPr>
        <w:t xml:space="preserve">e found higher </w:t>
      </w:r>
      <w:r>
        <w:rPr>
          <w:u w:color="403737"/>
          <w:rtl w:val="0"/>
          <w:lang w:val="en-US"/>
        </w:rPr>
        <w:t>FA</w:t>
      </w:r>
      <w:r>
        <w:rPr>
          <w:u w:color="403737"/>
          <w:rtl w:val="0"/>
          <w:lang w:val="en-US"/>
        </w:rPr>
        <w:t xml:space="preserve"> and reduced medial</w:t>
      </w:r>
      <w:r>
        <w:rPr>
          <w:u w:color="403737"/>
          <w:rtl w:val="0"/>
          <w:lang w:val="en-US"/>
        </w:rPr>
        <w:t xml:space="preserve"> (MD)</w:t>
      </w:r>
      <w:r>
        <w:rPr>
          <w:u w:color="403737"/>
          <w:rtl w:val="0"/>
          <w:lang w:val="en-US"/>
        </w:rPr>
        <w:t>, radial</w:t>
      </w:r>
      <w:r>
        <w:rPr>
          <w:u w:color="403737"/>
          <w:rtl w:val="0"/>
          <w:lang w:val="en-US"/>
        </w:rPr>
        <w:t xml:space="preserve"> (RD)</w:t>
      </w:r>
      <w:r>
        <w:rPr>
          <w:u w:color="403737"/>
          <w:rtl w:val="0"/>
          <w:lang w:val="en-US"/>
        </w:rPr>
        <w:t xml:space="preserve"> and axial diffusivity</w:t>
      </w:r>
      <w:r>
        <w:rPr>
          <w:u w:color="403737"/>
          <w:rtl w:val="0"/>
          <w:lang w:val="en-US"/>
        </w:rPr>
        <w:t xml:space="preserve"> (AD)</w:t>
      </w:r>
      <w:r>
        <w:rPr>
          <w:u w:color="403737"/>
          <w:rtl w:val="0"/>
          <w:lang w:val="en-US"/>
        </w:rPr>
        <w:t xml:space="preserve"> in the corticospinal tract.</w:t>
      </w:r>
      <w:r>
        <w:rPr>
          <w:u w:color="403737"/>
          <w:rtl w:val="0"/>
          <w:lang w:val="en-US"/>
        </w:rPr>
        <w:t xml:space="preserve"> Diffusion values from the mild PD group were  also different than controls.</w:t>
      </w:r>
    </w:p>
    <w:p>
      <w:pPr>
        <w:pStyle w:val="Padrã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u w:color="403737"/>
          <w:rtl w:val="0"/>
          <w:lang w:val="en-US"/>
        </w:rPr>
      </w:pPr>
      <w:r>
        <w:rPr>
          <w:rFonts w:ascii="Times New Roman" w:hAnsi="Times New Roman"/>
          <w:sz w:val="24"/>
          <w:szCs w:val="24"/>
          <w:u w:color="403737"/>
          <w:rtl w:val="0"/>
          <w:lang w:val="en-US"/>
        </w:rPr>
        <w:t>There was no difference between patients and controls at cingulum, however we found reduced FA in severe PD in comparison to controls.</w:t>
      </w:r>
      <w:r>
        <w:rPr>
          <w:rFonts w:ascii="Times New Roman" w:hAnsi="Times New Roman"/>
          <w:sz w:val="24"/>
          <w:szCs w:val="24"/>
          <w:u w:color="403737"/>
          <w:rtl w:val="0"/>
          <w:lang w:val="en-US"/>
        </w:rPr>
        <w:t xml:space="preserve"> At corpus callosum we found lower FA in PD when compared to controls.</w:t>
      </w:r>
    </w:p>
    <w:p>
      <w:pPr>
        <w:pStyle w:val="Padrã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u w:color="403737"/>
          <w:rtl w:val="0"/>
          <w:lang w:val="en-US"/>
        </w:rPr>
        <w:t>There was also an association between MD and RD values of the corticospinal tract and cingulum with SCOPA-COG scores, and between FA and RD values of the corpus callosum and UPDRS-III scores.</w:t>
      </w:r>
    </w:p>
    <w:p>
      <w:pPr>
        <w:pStyle w:val="Corpo"/>
      </w:pPr>
      <w:r>
        <w:rPr>
          <w:b w:val="1"/>
          <w:bCs w:val="1"/>
          <w:rtl w:val="0"/>
          <w:lang w:val="en-US"/>
        </w:rPr>
        <w:t>Discussion:</w:t>
      </w:r>
      <w:r>
        <w:rPr>
          <w:b w:val="1"/>
          <w:bCs w:val="1"/>
          <w:rtl w:val="0"/>
          <w:lang w:val="en-US"/>
        </w:rPr>
        <w:t xml:space="preserve"> </w:t>
      </w:r>
      <w:r>
        <w:rPr>
          <w:rtl w:val="0"/>
          <w:lang w:val="en-US"/>
        </w:rPr>
        <w:t>We assesses three tracts relevant to PD and found abnormalities in all of them, demonstrating important white matter  involvement in the disease. We also found differences between groups, showing that more severe patients have more diffuse brain alterations. The association between diffusion values and scales scores also demonstrate a relation between motor and non-motor symptoms and cerebral abnormalities.</w:t>
      </w:r>
    </w:p>
    <w:p>
      <w:pPr>
        <w:pStyle w:val="Corpo"/>
      </w:pPr>
      <w:r>
        <w:rPr>
          <w:b w:val="1"/>
          <w:bCs w:val="1"/>
          <w:rtl w:val="0"/>
          <w:lang w:val="en-US"/>
        </w:rPr>
        <w:t xml:space="preserve">Conclusion: </w:t>
      </w:r>
      <w:r>
        <w:rPr>
          <w:rtl w:val="0"/>
          <w:lang w:val="en-US"/>
        </w:rPr>
        <w:t>Our data suggest that DTI analysis is a sensitive tool to asses microstructural abnormalities already in early stages of the disease and in areas beyond the substancia nigra, and the association with clinical scores indicate that these alterations might be measured indirectly by clinical evaluation.</w:t>
      </w:r>
    </w:p>
    <w:p>
      <w:pPr>
        <w:pStyle w:val="Corpo"/>
      </w:pPr>
      <w:r>
        <w:rPr>
          <w:b w:val="1"/>
          <w:bCs w:val="1"/>
          <w:rtl w:val="0"/>
          <w:lang w:val="en-US"/>
        </w:rPr>
        <w:t xml:space="preserve">References: </w:t>
      </w:r>
      <w:r>
        <w:rPr>
          <w:rtl w:val="0"/>
          <w:lang w:val="en-US"/>
        </w:rPr>
        <w:t xml:space="preserve">[1] </w:t>
      </w:r>
      <w:r>
        <w:rPr>
          <w:rtl w:val="0"/>
          <w:lang w:val="en-US"/>
        </w:rPr>
        <w:t xml:space="preserve">Kalia L V </w:t>
      </w:r>
      <w:r>
        <w:rPr>
          <w:rtl w:val="0"/>
          <w:lang w:val="en-US"/>
        </w:rPr>
        <w:t xml:space="preserve">et al., </w:t>
      </w:r>
      <w:r>
        <w:rPr>
          <w:color w:val="323232"/>
          <w:u w:val="single"/>
          <w:rtl w:val="0"/>
        </w:rPr>
        <w:t>Nat Rev Neurol.</w:t>
      </w:r>
      <w:r>
        <w:rPr>
          <w:rtl w:val="0"/>
          <w:lang w:val="en-US"/>
        </w:rPr>
        <w:t xml:space="preserve"> 12(2):65-6, 201</w:t>
      </w:r>
      <w:r>
        <w:rPr>
          <w:rtl w:val="0"/>
          <w:lang w:val="en-US"/>
        </w:rPr>
        <w:t>5</w:t>
      </w:r>
      <w:r>
        <w:rPr>
          <w:rtl w:val="0"/>
          <w:lang w:val="en-US"/>
        </w:rPr>
        <w:t xml:space="preserve">; [2] </w:t>
      </w:r>
      <w:r>
        <w:rPr>
          <w:rtl w:val="0"/>
          <w:lang w:val="en-US"/>
        </w:rPr>
        <w:t xml:space="preserve">Skidmore FM </w:t>
      </w:r>
      <w:r>
        <w:rPr>
          <w:rtl w:val="0"/>
          <w:lang w:val="en-US"/>
        </w:rPr>
        <w:t xml:space="preserve">et al., </w:t>
      </w:r>
      <w:r>
        <w:rPr>
          <w:rtl w:val="0"/>
          <w:lang w:val="en-US"/>
        </w:rPr>
        <w:t>Neuroinformatics.</w:t>
      </w:r>
      <w:r>
        <w:rPr>
          <w:rtl w:val="0"/>
          <w:lang w:val="en-US"/>
        </w:rPr>
        <w:t xml:space="preserve"> </w:t>
      </w:r>
      <w:r>
        <w:rPr>
          <w:rtl w:val="0"/>
          <w:lang w:val="en-US"/>
        </w:rPr>
        <w:t>13</w:t>
      </w:r>
      <w:r>
        <w:rPr>
          <w:rtl w:val="0"/>
          <w:lang w:val="en-US"/>
        </w:rPr>
        <w:t xml:space="preserve">(1): </w:t>
      </w:r>
      <w:r>
        <w:rPr>
          <w:rtl w:val="0"/>
          <w:lang w:val="en-US"/>
        </w:rPr>
        <w:t>7</w:t>
      </w:r>
      <w:r>
        <w:rPr>
          <w:rtl w:val="0"/>
          <w:lang w:val="en-US"/>
        </w:rPr>
        <w:t>-</w:t>
      </w:r>
      <w:r>
        <w:rPr>
          <w:rtl w:val="0"/>
          <w:lang w:val="en-US"/>
        </w:rPr>
        <w:t>18</w:t>
      </w:r>
      <w:r>
        <w:rPr>
          <w:rtl w:val="0"/>
          <w:lang w:val="en-US"/>
        </w:rPr>
        <w:t xml:space="preserve">, </w:t>
      </w:r>
      <w:r>
        <w:rPr>
          <w:rtl w:val="0"/>
          <w:lang w:val="en-US"/>
        </w:rPr>
        <w:t xml:space="preserve">2015; [3] Gattellaro G et al., Am J Neuroradiol. </w:t>
      </w:r>
      <w:r>
        <w:rPr>
          <w:rtl w:val="0"/>
          <w:lang w:val="en-US"/>
        </w:rPr>
        <w:t>30(6):1222-6</w:t>
      </w:r>
      <w:r>
        <w:rPr>
          <w:rtl w:val="0"/>
          <w:lang w:val="en-US"/>
        </w:rPr>
        <w:t>, 2009.</w:t>
      </w:r>
    </w:p>
    <w:sectPr>
      <w:headerReference w:type="default" r:id="rId4"/>
      <w:footerReference w:type="default" r:id="rId5"/>
      <w:pgSz w:w="11900" w:h="16840" w:orient="portrait"/>
      <w:pgMar w:top="1134" w:right="1134" w:bottom="1134" w:left="1134" w:header="709"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drawing>
        <wp:anchor distT="152400" distB="152400" distL="152400" distR="152400" simplePos="0" relativeHeight="251658240" behindDoc="1" locked="0" layoutInCell="1" allowOverlap="1">
          <wp:simplePos x="0" y="0"/>
          <wp:positionH relativeFrom="page">
            <wp:posOffset>19050</wp:posOffset>
          </wp:positionH>
          <wp:positionV relativeFrom="page">
            <wp:posOffset>-366141</wp:posOffset>
          </wp:positionV>
          <wp:extent cx="1944370" cy="580390"/>
          <wp:effectExtent l="0" t="0" r="0" b="0"/>
          <wp:wrapNone/>
          <wp:docPr id="1073741825" name="officeArt object" descr="BRAINN_oficial.png"/>
          <wp:cNvGraphicFramePr/>
          <a:graphic xmlns:a="http://schemas.openxmlformats.org/drawingml/2006/main">
            <a:graphicData uri="http://schemas.openxmlformats.org/drawingml/2006/picture">
              <pic:pic xmlns:pic="http://schemas.openxmlformats.org/drawingml/2006/picture">
                <pic:nvPicPr>
                  <pic:cNvPr id="1073741825" name="image1.png" descr="BRAINN_oficial.png"/>
                  <pic:cNvPicPr>
                    <a:picLocks noChangeAspect="1"/>
                  </pic:cNvPicPr>
                </pic:nvPicPr>
                <pic:blipFill>
                  <a:blip r:embed="rId1">
                    <a:extLst/>
                  </a:blip>
                  <a:srcRect l="0" t="30636" r="0" b="27168"/>
                  <a:stretch>
                    <a:fillRect/>
                  </a:stretch>
                </pic:blipFill>
                <pic:spPr>
                  <a:xfrm>
                    <a:off x="0" y="0"/>
                    <a:ext cx="1944370" cy="580390"/>
                  </a:xfrm>
                  <a:prstGeom prst="rect">
                    <a:avLst/>
                  </a:prstGeom>
                  <a:ln w="12700" cap="flat">
                    <a:noFill/>
                    <a:miter lim="400000"/>
                  </a:ln>
                  <a:effectLst/>
                </pic:spPr>
              </pic:pic>
            </a:graphicData>
          </a:graphic>
        </wp:anchor>
      </w:drawing>
    </w:r>
    <w:r>
      <mc:AlternateContent>
        <mc:Choice Requires="wpg">
          <w:drawing>
            <wp:anchor distT="152400" distB="152400" distL="152400" distR="152400" simplePos="0" relativeHeight="251659264" behindDoc="1" locked="0" layoutInCell="1" allowOverlap="1">
              <wp:simplePos x="0" y="0"/>
              <wp:positionH relativeFrom="page">
                <wp:posOffset>6082665</wp:posOffset>
              </wp:positionH>
              <wp:positionV relativeFrom="page">
                <wp:posOffset>72390</wp:posOffset>
              </wp:positionV>
              <wp:extent cx="1437006" cy="58039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437006" cy="580390"/>
                        <a:chOff x="0" y="0"/>
                        <a:chExt cx="1437005" cy="580389"/>
                      </a:xfrm>
                    </wpg:grpSpPr>
                    <wps:wsp>
                      <wps:cNvPr id="1073741826" name="Shape 1073741826"/>
                      <wps:cNvSpPr/>
                      <wps:spPr>
                        <a:xfrm>
                          <a:off x="0" y="0"/>
                          <a:ext cx="1437006" cy="580390"/>
                        </a:xfrm>
                        <a:prstGeom prst="rect">
                          <a:avLst/>
                        </a:prstGeom>
                        <a:solidFill>
                          <a:srgbClr val="FFFFFF"/>
                        </a:solidFill>
                        <a:ln w="12700" cap="flat">
                          <a:noFill/>
                          <a:miter lim="400000"/>
                        </a:ln>
                        <a:effectLst/>
                      </wps:spPr>
                      <wps:bodyPr/>
                    </wps:wsp>
                    <wps:wsp>
                      <wps:cNvPr id="1073741827" name="Shape 1073741827"/>
                      <wps:cNvSpPr/>
                      <wps:spPr>
                        <a:xfrm>
                          <a:off x="0" y="0"/>
                          <a:ext cx="1437006" cy="580390"/>
                        </a:xfrm>
                        <a:prstGeom prst="rect">
                          <a:avLst/>
                        </a:prstGeom>
                        <a:noFill/>
                        <a:ln w="12700" cap="flat">
                          <a:noFill/>
                          <a:miter lim="400000"/>
                        </a:ln>
                        <a:effectLst/>
                      </wps:spPr>
                      <wps:txbx>
                        <w:txbxContent>
                          <w:p>
                            <w:pPr>
                              <w:pStyle w:val="Corpo"/>
                              <w:rPr>
                                <w:rFonts w:ascii="Calibri" w:cs="Calibri" w:hAnsi="Calibri" w:eastAsia="Calibri"/>
                                <w:b w:val="1"/>
                                <w:bCs w:val="1"/>
                                <w:sz w:val="20"/>
                                <w:szCs w:val="20"/>
                              </w:rPr>
                            </w:pPr>
                            <w:r>
                              <w:rPr>
                                <w:rFonts w:ascii="Calibri" w:cs="Calibri" w:hAnsi="Calibri" w:eastAsia="Calibri"/>
                                <w:b w:val="1"/>
                                <w:bCs w:val="1"/>
                                <w:sz w:val="20"/>
                                <w:szCs w:val="20"/>
                                <w:rtl w:val="0"/>
                                <w:lang w:val="en-US"/>
                              </w:rPr>
                              <w:t>3</w:t>
                            </w:r>
                            <w:r>
                              <w:rPr>
                                <w:rFonts w:ascii="Calibri" w:cs="Calibri" w:hAnsi="Calibri" w:eastAsia="Calibri"/>
                                <w:b w:val="1"/>
                                <w:bCs w:val="1"/>
                                <w:sz w:val="20"/>
                                <w:szCs w:val="20"/>
                                <w:vertAlign w:val="superscript"/>
                                <w:rtl w:val="0"/>
                                <w:lang w:val="en-US"/>
                              </w:rPr>
                              <w:t>rd</w:t>
                            </w:r>
                            <w:r>
                              <w:rPr>
                                <w:rFonts w:ascii="Calibri" w:cs="Calibri" w:hAnsi="Calibri" w:eastAsia="Calibri"/>
                                <w:b w:val="1"/>
                                <w:bCs w:val="1"/>
                                <w:sz w:val="20"/>
                                <w:szCs w:val="20"/>
                                <w:rtl w:val="0"/>
                                <w:lang w:val="en-US"/>
                              </w:rPr>
                              <w:t xml:space="preserve"> BRAINN Congress</w:t>
                            </w:r>
                            <w:r>
                              <w:rPr>
                                <w:rFonts w:ascii="Calibri" w:cs="Calibri" w:hAnsi="Calibri" w:eastAsia="Calibri"/>
                                <w:b w:val="1"/>
                                <w:bCs w:val="1"/>
                                <w:sz w:val="20"/>
                                <w:szCs w:val="20"/>
                              </w:rPr>
                            </w:r>
                          </w:p>
                          <w:p>
                            <w:pPr>
                              <w:pStyle w:val="Corpo"/>
                              <w:rPr>
                                <w:rFonts w:ascii="Calibri" w:cs="Calibri" w:hAnsi="Calibri" w:eastAsia="Calibri"/>
                                <w:b w:val="1"/>
                                <w:bCs w:val="1"/>
                                <w:sz w:val="20"/>
                                <w:szCs w:val="20"/>
                              </w:rPr>
                            </w:pPr>
                            <w:r>
                              <w:rPr>
                                <w:rFonts w:ascii="Calibri" w:cs="Calibri" w:hAnsi="Calibri" w:eastAsia="Calibri"/>
                                <w:b w:val="1"/>
                                <w:bCs w:val="1"/>
                                <w:sz w:val="20"/>
                                <w:szCs w:val="20"/>
                                <w:rtl w:val="0"/>
                                <w:lang w:val="en-US"/>
                              </w:rPr>
                              <w:t>April 11</w:t>
                            </w:r>
                            <w:r>
                              <w:rPr>
                                <w:rFonts w:ascii="Calibri" w:cs="Calibri" w:hAnsi="Calibri" w:eastAsia="Calibri"/>
                                <w:b w:val="1"/>
                                <w:bCs w:val="1"/>
                                <w:sz w:val="20"/>
                                <w:szCs w:val="20"/>
                                <w:vertAlign w:val="superscript"/>
                                <w:rtl w:val="0"/>
                                <w:lang w:val="en-US"/>
                              </w:rPr>
                              <w:t>th</w:t>
                            </w:r>
                            <w:r>
                              <w:rPr>
                                <w:rFonts w:ascii="Calibri" w:cs="Calibri" w:hAnsi="Calibri" w:eastAsia="Calibri"/>
                                <w:b w:val="1"/>
                                <w:bCs w:val="1"/>
                                <w:sz w:val="20"/>
                                <w:szCs w:val="20"/>
                                <w:rtl w:val="0"/>
                                <w:lang w:val="en-US"/>
                              </w:rPr>
                              <w:t xml:space="preserve"> – </w:t>
                            </w:r>
                            <w:r>
                              <w:rPr>
                                <w:rFonts w:ascii="Calibri" w:cs="Calibri" w:hAnsi="Calibri" w:eastAsia="Calibri"/>
                                <w:b w:val="1"/>
                                <w:bCs w:val="1"/>
                                <w:sz w:val="20"/>
                                <w:szCs w:val="20"/>
                                <w:rtl w:val="0"/>
                                <w:lang w:val="en-US"/>
                              </w:rPr>
                              <w:t>13</w:t>
                            </w:r>
                            <w:r>
                              <w:rPr>
                                <w:rFonts w:ascii="Calibri" w:cs="Calibri" w:hAnsi="Calibri" w:eastAsia="Calibri"/>
                                <w:b w:val="1"/>
                                <w:bCs w:val="1"/>
                                <w:sz w:val="20"/>
                                <w:szCs w:val="20"/>
                                <w:vertAlign w:val="superscript"/>
                                <w:rtl w:val="0"/>
                                <w:lang w:val="en-US"/>
                              </w:rPr>
                              <w:t>th</w:t>
                            </w:r>
                            <w:r>
                              <w:rPr>
                                <w:rFonts w:ascii="Calibri" w:cs="Calibri" w:hAnsi="Calibri" w:eastAsia="Calibri"/>
                                <w:b w:val="1"/>
                                <w:bCs w:val="1"/>
                                <w:sz w:val="20"/>
                                <w:szCs w:val="20"/>
                                <w:rtl w:val="0"/>
                                <w:lang w:val="en-US"/>
                              </w:rPr>
                              <w:t xml:space="preserve">, 2016 </w:t>
                            </w:r>
                          </w:p>
                          <w:p>
                            <w:pPr>
                              <w:pStyle w:val="Corpo"/>
                            </w:pPr>
                            <w:r>
                              <w:rPr>
                                <w:rFonts w:ascii="Calibri" w:cs="Calibri" w:hAnsi="Calibri" w:eastAsia="Calibri"/>
                                <w:b w:val="1"/>
                                <w:bCs w:val="1"/>
                                <w:sz w:val="20"/>
                                <w:szCs w:val="20"/>
                                <w:rtl w:val="0"/>
                                <w:lang w:val="en-US"/>
                              </w:rPr>
                              <w:t>Campinas, SP, Brazil</w:t>
                            </w:r>
                          </w:p>
                        </w:txbxContent>
                      </wps:txbx>
                      <wps:bodyPr wrap="square" lIns="45719" tIns="45719" rIns="45719" bIns="45719" numCol="1" anchor="t">
                        <a:noAutofit/>
                      </wps:bodyPr>
                    </wps:wsp>
                  </wpg:wgp>
                </a:graphicData>
              </a:graphic>
            </wp:anchor>
          </w:drawing>
        </mc:Choice>
        <mc:Fallback>
          <w:pict>
            <v:group id="_x0000_s1026" style="visibility:visible;position:absolute;margin-left:479.0pt;margin-top:5.7pt;width:113.2pt;height:45.7pt;z-index:-251657216;mso-position-horizontal:absolute;mso-position-horizontal-relative:page;mso-position-vertical:absolute;mso-position-vertical-relative:page;mso-wrap-distance-left:12.0pt;mso-wrap-distance-top:12.0pt;mso-wrap-distance-right:12.0pt;mso-wrap-distance-bottom:12.0pt;" coordorigin="0,0" coordsize="1437005,580390">
              <w10:wrap type="none" side="bothSides" anchorx="page" anchory="page"/>
              <v:rect id="_x0000_s1027" style="position:absolute;left:0;top:0;width:1437005;height:580390;">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1437005;height:580390;">
                <v:fill on="f"/>
                <v:stroke on="f" weight="1.0pt" dashstyle="solid" endcap="flat" miterlimit="400.0%" joinstyle="miter" linestyle="single" startarrow="none" startarrowwidth="medium" startarrowlength="medium" endarrow="none" endarrowwidth="medium" endarrowlength="medium"/>
                <v:textbox>
                  <w:txbxContent>
                    <w:p>
                      <w:pPr>
                        <w:pStyle w:val="Corpo"/>
                        <w:rPr>
                          <w:rFonts w:ascii="Calibri" w:cs="Calibri" w:hAnsi="Calibri" w:eastAsia="Calibri"/>
                          <w:b w:val="1"/>
                          <w:bCs w:val="1"/>
                          <w:sz w:val="20"/>
                          <w:szCs w:val="20"/>
                        </w:rPr>
                      </w:pPr>
                      <w:r>
                        <w:rPr>
                          <w:rFonts w:ascii="Calibri" w:cs="Calibri" w:hAnsi="Calibri" w:eastAsia="Calibri"/>
                          <w:b w:val="1"/>
                          <w:bCs w:val="1"/>
                          <w:sz w:val="20"/>
                          <w:szCs w:val="20"/>
                          <w:rtl w:val="0"/>
                          <w:lang w:val="en-US"/>
                        </w:rPr>
                        <w:t>3</w:t>
                      </w:r>
                      <w:r>
                        <w:rPr>
                          <w:rFonts w:ascii="Calibri" w:cs="Calibri" w:hAnsi="Calibri" w:eastAsia="Calibri"/>
                          <w:b w:val="1"/>
                          <w:bCs w:val="1"/>
                          <w:sz w:val="20"/>
                          <w:szCs w:val="20"/>
                          <w:vertAlign w:val="superscript"/>
                          <w:rtl w:val="0"/>
                          <w:lang w:val="en-US"/>
                        </w:rPr>
                        <w:t>rd</w:t>
                      </w:r>
                      <w:r>
                        <w:rPr>
                          <w:rFonts w:ascii="Calibri" w:cs="Calibri" w:hAnsi="Calibri" w:eastAsia="Calibri"/>
                          <w:b w:val="1"/>
                          <w:bCs w:val="1"/>
                          <w:sz w:val="20"/>
                          <w:szCs w:val="20"/>
                          <w:rtl w:val="0"/>
                          <w:lang w:val="en-US"/>
                        </w:rPr>
                        <w:t xml:space="preserve"> BRAINN Congress</w:t>
                      </w:r>
                    </w:p>
                    <w:p>
                      <w:pPr>
                        <w:pStyle w:val="Corpo"/>
                        <w:rPr>
                          <w:rFonts w:ascii="Calibri" w:cs="Calibri" w:hAnsi="Calibri" w:eastAsia="Calibri"/>
                          <w:b w:val="1"/>
                          <w:bCs w:val="1"/>
                          <w:sz w:val="20"/>
                          <w:szCs w:val="20"/>
                        </w:rPr>
                      </w:pPr>
                      <w:r>
                        <w:rPr>
                          <w:rFonts w:ascii="Calibri" w:cs="Calibri" w:hAnsi="Calibri" w:eastAsia="Calibri"/>
                          <w:b w:val="1"/>
                          <w:bCs w:val="1"/>
                          <w:sz w:val="20"/>
                          <w:szCs w:val="20"/>
                          <w:rtl w:val="0"/>
                          <w:lang w:val="en-US"/>
                        </w:rPr>
                        <w:t>April 11</w:t>
                      </w:r>
                      <w:r>
                        <w:rPr>
                          <w:rFonts w:ascii="Calibri" w:cs="Calibri" w:hAnsi="Calibri" w:eastAsia="Calibri"/>
                          <w:b w:val="1"/>
                          <w:bCs w:val="1"/>
                          <w:sz w:val="20"/>
                          <w:szCs w:val="20"/>
                          <w:vertAlign w:val="superscript"/>
                          <w:rtl w:val="0"/>
                          <w:lang w:val="en-US"/>
                        </w:rPr>
                        <w:t>th</w:t>
                      </w:r>
                      <w:r>
                        <w:rPr>
                          <w:rFonts w:ascii="Calibri" w:cs="Calibri" w:hAnsi="Calibri" w:eastAsia="Calibri"/>
                          <w:b w:val="1"/>
                          <w:bCs w:val="1"/>
                          <w:sz w:val="20"/>
                          <w:szCs w:val="20"/>
                          <w:rtl w:val="0"/>
                          <w:lang w:val="en-US"/>
                        </w:rPr>
                        <w:t xml:space="preserve"> – </w:t>
                      </w:r>
                      <w:r>
                        <w:rPr>
                          <w:rFonts w:ascii="Calibri" w:cs="Calibri" w:hAnsi="Calibri" w:eastAsia="Calibri"/>
                          <w:b w:val="1"/>
                          <w:bCs w:val="1"/>
                          <w:sz w:val="20"/>
                          <w:szCs w:val="20"/>
                          <w:rtl w:val="0"/>
                          <w:lang w:val="en-US"/>
                        </w:rPr>
                        <w:t>13</w:t>
                      </w:r>
                      <w:r>
                        <w:rPr>
                          <w:rFonts w:ascii="Calibri" w:cs="Calibri" w:hAnsi="Calibri" w:eastAsia="Calibri"/>
                          <w:b w:val="1"/>
                          <w:bCs w:val="1"/>
                          <w:sz w:val="20"/>
                          <w:szCs w:val="20"/>
                          <w:vertAlign w:val="superscript"/>
                          <w:rtl w:val="0"/>
                          <w:lang w:val="en-US"/>
                        </w:rPr>
                        <w:t>th</w:t>
                      </w:r>
                      <w:r>
                        <w:rPr>
                          <w:rFonts w:ascii="Calibri" w:cs="Calibri" w:hAnsi="Calibri" w:eastAsia="Calibri"/>
                          <w:b w:val="1"/>
                          <w:bCs w:val="1"/>
                          <w:sz w:val="20"/>
                          <w:szCs w:val="20"/>
                          <w:rtl w:val="0"/>
                          <w:lang w:val="en-US"/>
                        </w:rPr>
                        <w:t xml:space="preserve">, 2016 </w:t>
                      </w:r>
                    </w:p>
                    <w:p>
                      <w:pPr>
                        <w:pStyle w:val="Corpo"/>
                      </w:pPr>
                      <w:r>
                        <w:rPr>
                          <w:rFonts w:ascii="Calibri" w:cs="Calibri" w:hAnsi="Calibri" w:eastAsia="Calibri"/>
                          <w:b w:val="1"/>
                          <w:bCs w:val="1"/>
                          <w:sz w:val="20"/>
                          <w:szCs w:val="20"/>
                          <w:rtl w:val="0"/>
                          <w:lang w:val="en-US"/>
                        </w:rPr>
                        <w:t>Campinas, SP, Brazil</w:t>
                      </w:r>
                    </w:p>
                  </w:txbxContent>
                </v:textbox>
              </v:rect>
            </v:group>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Padrão">
    <w:name w:val="Padrão"/>
    <w:next w:val="Padrã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