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00" w:rsidRPr="00FE6900" w:rsidRDefault="00FE6900" w:rsidP="00FE6900">
      <w:pPr>
        <w:spacing w:after="200"/>
        <w:jc w:val="center"/>
        <w:rPr>
          <w:b/>
          <w:bCs/>
          <w:sz w:val="28"/>
          <w:szCs w:val="28"/>
          <w:lang w:val="en-US"/>
        </w:rPr>
      </w:pPr>
      <w:r w:rsidRPr="00FE6900">
        <w:rPr>
          <w:b/>
          <w:bCs/>
          <w:sz w:val="28"/>
          <w:szCs w:val="28"/>
          <w:lang w:val="en-US"/>
        </w:rPr>
        <w:t xml:space="preserve">Generalized Epilepsies And Persistent Seizures: Clinical And </w:t>
      </w:r>
      <w:proofErr w:type="spellStart"/>
      <w:r w:rsidRPr="00FE6900">
        <w:rPr>
          <w:b/>
          <w:bCs/>
          <w:sz w:val="28"/>
          <w:szCs w:val="28"/>
          <w:lang w:val="en-US"/>
        </w:rPr>
        <w:t>Neuroimaging</w:t>
      </w:r>
      <w:proofErr w:type="spellEnd"/>
      <w:r w:rsidRPr="00FE6900">
        <w:rPr>
          <w:b/>
          <w:bCs/>
          <w:sz w:val="28"/>
          <w:szCs w:val="28"/>
          <w:lang w:val="en-US"/>
        </w:rPr>
        <w:t xml:space="preserve"> Features</w:t>
      </w:r>
    </w:p>
    <w:p w:rsidR="00FE6900" w:rsidRPr="00FE6900" w:rsidRDefault="00FE6900" w:rsidP="00FE6900">
      <w:pPr>
        <w:spacing w:after="200"/>
        <w:jc w:val="center"/>
        <w:rPr>
          <w:bCs/>
          <w:szCs w:val="24"/>
          <w:vertAlign w:val="superscript"/>
        </w:rPr>
      </w:pPr>
      <w:proofErr w:type="spellStart"/>
      <w:r w:rsidRPr="00FE6900">
        <w:rPr>
          <w:bCs/>
          <w:szCs w:val="24"/>
        </w:rPr>
        <w:t>M.K.M.</w:t>
      </w:r>
      <w:proofErr w:type="spellEnd"/>
      <w:r w:rsidRPr="00FE6900">
        <w:rPr>
          <w:bCs/>
          <w:szCs w:val="24"/>
        </w:rPr>
        <w:t xml:space="preserve"> Alvim</w:t>
      </w:r>
      <w:r w:rsidR="00050EDC" w:rsidRPr="00050EDC">
        <w:rPr>
          <w:bCs/>
          <w:szCs w:val="24"/>
          <w:vertAlign w:val="superscript"/>
        </w:rPr>
        <w:t>1</w:t>
      </w:r>
      <w:r w:rsidRPr="00FE6900">
        <w:rPr>
          <w:bCs/>
          <w:szCs w:val="24"/>
        </w:rPr>
        <w:t>,</w:t>
      </w:r>
      <w:r w:rsidRPr="00FE6900">
        <w:rPr>
          <w:bCs/>
          <w:szCs w:val="24"/>
          <w:vertAlign w:val="superscript"/>
        </w:rPr>
        <w:t xml:space="preserve"> </w:t>
      </w:r>
      <w:proofErr w:type="spellStart"/>
      <w:r w:rsidRPr="00FE6900">
        <w:rPr>
          <w:bCs/>
          <w:szCs w:val="24"/>
        </w:rPr>
        <w:t>M.S.</w:t>
      </w:r>
      <w:proofErr w:type="spellEnd"/>
      <w:r w:rsidRPr="00FE6900">
        <w:rPr>
          <w:bCs/>
          <w:szCs w:val="24"/>
        </w:rPr>
        <w:t xml:space="preserve"> Polydoro</w:t>
      </w:r>
      <w:r>
        <w:rPr>
          <w:bCs/>
          <w:szCs w:val="24"/>
          <w:vertAlign w:val="superscript"/>
        </w:rPr>
        <w:t>2</w:t>
      </w:r>
      <w:r w:rsidRPr="00FE6900">
        <w:rPr>
          <w:bCs/>
          <w:szCs w:val="24"/>
        </w:rPr>
        <w:t xml:space="preserve">, </w:t>
      </w:r>
      <w:proofErr w:type="spellStart"/>
      <w:r w:rsidRPr="00FE6900">
        <w:rPr>
          <w:bCs/>
          <w:szCs w:val="24"/>
        </w:rPr>
        <w:t>D.S.</w:t>
      </w:r>
      <w:proofErr w:type="spellEnd"/>
      <w:r w:rsidRPr="00FE6900">
        <w:rPr>
          <w:bCs/>
          <w:szCs w:val="24"/>
        </w:rPr>
        <w:t xml:space="preserve"> Garcia</w:t>
      </w:r>
      <w:r>
        <w:rPr>
          <w:bCs/>
          <w:szCs w:val="24"/>
          <w:vertAlign w:val="superscript"/>
        </w:rPr>
        <w:t>2</w:t>
      </w:r>
      <w:r w:rsidRPr="00FE6900">
        <w:rPr>
          <w:bCs/>
          <w:szCs w:val="24"/>
        </w:rPr>
        <w:t xml:space="preserve">, </w:t>
      </w:r>
      <w:proofErr w:type="spellStart"/>
      <w:r w:rsidRPr="00FE6900">
        <w:rPr>
          <w:bCs/>
          <w:szCs w:val="24"/>
        </w:rPr>
        <w:t>M.E.</w:t>
      </w:r>
      <w:proofErr w:type="spellEnd"/>
      <w:r w:rsidRPr="00FE6900">
        <w:rPr>
          <w:bCs/>
          <w:szCs w:val="24"/>
        </w:rPr>
        <w:t xml:space="preserve"> Morita</w:t>
      </w:r>
      <w:r>
        <w:rPr>
          <w:bCs/>
          <w:szCs w:val="24"/>
          <w:vertAlign w:val="superscript"/>
        </w:rPr>
        <w:t>1</w:t>
      </w:r>
      <w:r w:rsidRPr="00FE6900">
        <w:rPr>
          <w:bCs/>
          <w:szCs w:val="24"/>
        </w:rPr>
        <w:t xml:space="preserve">, </w:t>
      </w:r>
      <w:proofErr w:type="spellStart"/>
      <w:r w:rsidRPr="00FE6900">
        <w:rPr>
          <w:bCs/>
          <w:szCs w:val="24"/>
        </w:rPr>
        <w:t>C.A.M.</w:t>
      </w:r>
      <w:proofErr w:type="spellEnd"/>
      <w:r w:rsidRPr="00FE6900">
        <w:rPr>
          <w:bCs/>
          <w:szCs w:val="24"/>
        </w:rPr>
        <w:t xml:space="preserve"> Guerreiro</w:t>
      </w:r>
      <w:r>
        <w:rPr>
          <w:bCs/>
          <w:szCs w:val="24"/>
          <w:vertAlign w:val="superscript"/>
        </w:rPr>
        <w:t>1</w:t>
      </w:r>
      <w:r w:rsidRPr="00FE6900">
        <w:rPr>
          <w:bCs/>
          <w:szCs w:val="24"/>
        </w:rPr>
        <w:t>, F. Cendes</w:t>
      </w:r>
      <w:r>
        <w:rPr>
          <w:bCs/>
          <w:szCs w:val="24"/>
          <w:vertAlign w:val="superscript"/>
        </w:rPr>
        <w:t>1</w:t>
      </w:r>
      <w:r w:rsidRPr="00FE6900">
        <w:rPr>
          <w:bCs/>
          <w:szCs w:val="24"/>
        </w:rPr>
        <w:t xml:space="preserve">, </w:t>
      </w:r>
      <w:proofErr w:type="spellStart"/>
      <w:r w:rsidRPr="00FE6900">
        <w:rPr>
          <w:bCs/>
          <w:szCs w:val="24"/>
        </w:rPr>
        <w:t>C.L.</w:t>
      </w:r>
      <w:proofErr w:type="spellEnd"/>
      <w:r w:rsidRPr="00FE6900">
        <w:rPr>
          <w:bCs/>
          <w:szCs w:val="24"/>
        </w:rPr>
        <w:t xml:space="preserve"> Yasuda</w:t>
      </w:r>
      <w:r>
        <w:rPr>
          <w:bCs/>
          <w:szCs w:val="24"/>
          <w:vertAlign w:val="superscript"/>
        </w:rPr>
        <w:t>1</w:t>
      </w:r>
    </w:p>
    <w:p w:rsidR="00FE6900" w:rsidRPr="00FE6900" w:rsidRDefault="00FE6900" w:rsidP="00FE6900">
      <w:pPr>
        <w:jc w:val="center"/>
        <w:rPr>
          <w:b/>
          <w:bCs/>
          <w:sz w:val="20"/>
          <w:szCs w:val="20"/>
          <w:lang w:val="en-US"/>
        </w:rPr>
      </w:pPr>
      <w:r w:rsidRPr="00FE6900">
        <w:rPr>
          <w:sz w:val="20"/>
          <w:szCs w:val="20"/>
          <w:vertAlign w:val="superscript"/>
          <w:lang w:val="en-US"/>
        </w:rPr>
        <w:t>1</w:t>
      </w:r>
      <w:r w:rsidRPr="00FE6900">
        <w:rPr>
          <w:sz w:val="20"/>
          <w:szCs w:val="20"/>
          <w:lang w:val="en-US"/>
        </w:rPr>
        <w:t xml:space="preserve">Neurology Dept. University of Campinas, </w:t>
      </w:r>
      <w:r w:rsidRPr="00FE6900">
        <w:rPr>
          <w:sz w:val="20"/>
          <w:szCs w:val="20"/>
          <w:vertAlign w:val="superscript"/>
          <w:lang w:val="en-US"/>
        </w:rPr>
        <w:t>2</w:t>
      </w:r>
      <w:r w:rsidRPr="00FE6900">
        <w:rPr>
          <w:sz w:val="20"/>
          <w:szCs w:val="20"/>
          <w:lang w:val="en-US"/>
        </w:rPr>
        <w:t xml:space="preserve"> University of Campinas</w:t>
      </w:r>
    </w:p>
    <w:p w:rsidR="00FE6900" w:rsidRPr="00786F6D" w:rsidRDefault="00FE6900" w:rsidP="00A6583C">
      <w:pPr>
        <w:tabs>
          <w:tab w:val="left" w:pos="2212"/>
        </w:tabs>
        <w:rPr>
          <w:b/>
          <w:bCs/>
          <w:szCs w:val="24"/>
          <w:lang w:val="en-US"/>
        </w:rPr>
      </w:pPr>
    </w:p>
    <w:p w:rsidR="00FE6900" w:rsidRPr="00786F6D" w:rsidRDefault="00FE6900" w:rsidP="00A6583C">
      <w:pPr>
        <w:spacing w:after="200"/>
        <w:rPr>
          <w:szCs w:val="24"/>
          <w:lang w:val="en-US"/>
        </w:rPr>
      </w:pPr>
      <w:r w:rsidRPr="00786F6D">
        <w:rPr>
          <w:b/>
          <w:bCs/>
          <w:szCs w:val="24"/>
          <w:lang w:val="en-US"/>
        </w:rPr>
        <w:t>Introduction</w:t>
      </w:r>
      <w:r>
        <w:rPr>
          <w:b/>
          <w:bCs/>
          <w:szCs w:val="24"/>
          <w:lang w:val="en-US"/>
        </w:rPr>
        <w:t xml:space="preserve">: </w:t>
      </w:r>
      <w:r w:rsidRPr="00786F6D">
        <w:rPr>
          <w:szCs w:val="24"/>
          <w:lang w:val="en-US"/>
        </w:rPr>
        <w:t xml:space="preserve">Idiopathic generalized epilepsies (IGE) are usually associated with good response to antiepileptic drugs and normal </w:t>
      </w:r>
      <w:r w:rsidRPr="00517AED">
        <w:rPr>
          <w:szCs w:val="24"/>
          <w:lang w:val="en-US"/>
        </w:rPr>
        <w:t>brain MRI. Recent studies have demonstrated structural and functional alterations in these patients, without noticing differences between seizure-free and patients with persistent seizures</w:t>
      </w:r>
      <w:r w:rsidR="00AC12CA" w:rsidRPr="00517AED">
        <w:rPr>
          <w:szCs w:val="24"/>
          <w:lang w:val="en-US"/>
        </w:rPr>
        <w:fldChar w:fldCharType="begin"/>
      </w:r>
      <w:r w:rsidR="00517AED" w:rsidRPr="00517AED">
        <w:rPr>
          <w:szCs w:val="24"/>
          <w:lang w:val="en-US"/>
        </w:rPr>
        <w:instrText xml:space="preserve"> ADDIN EN.CITE &lt;EndNote&gt;&lt;Cite&gt;&lt;Author&gt;Koepp&lt;/Author&gt;&lt;Year&gt;2014&lt;/Year&gt;&lt;RecNum&gt;2&lt;/RecNum&gt;&lt;DisplayText&gt;&lt;style face="superscript"&gt;1&lt;/style&gt;&lt;/DisplayText&gt;&lt;record&gt;&lt;rec-number&gt;2&lt;/rec-number&gt;&lt;foreign-keys&gt;&lt;key app="EN" db-id="w5rz90xzkr0v92ew52f5evvn0a0aa5vszr0z" timestamp="1457446898"&gt;2&lt;/key&gt;&lt;/foreign-keys&gt;&lt;ref-type name="Journal Article"&gt;17&lt;/ref-type&gt;&lt;contributors&gt;&lt;authors&gt;&lt;author&gt;Koepp, M. J.&lt;/author&gt;&lt;author&gt;Thomas, R. H.&lt;/author&gt;&lt;author&gt;Wandschneider, B.&lt;/author&gt;&lt;author&gt;Berkovic, S. F.&lt;/author&gt;&lt;author&gt;Schmidt, D.&lt;/author&gt;&lt;/authors&gt;&lt;/contributors&gt;&lt;auth-address&gt;Department of Clinical and Experimental Epilepsy, University College London - Institute of Neurology, 33 Queen Square, London WC1N 3BG, UK.&lt;/auth-address&gt;&lt;titles&gt;&lt;title&gt;Concepts and controversies of juvenile myoclonic epilepsy: still an enigmatic epilepsy&lt;/title&gt;&lt;secondary-title&gt;Expert Rev Neurother&lt;/secondary-title&gt;&lt;/titles&gt;&lt;periodical&gt;&lt;full-title&gt;Expert Rev Neurother&lt;/full-title&gt;&lt;/periodical&gt;&lt;pages&gt;819-31&lt;/pages&gt;&lt;volume&gt;14&lt;/volume&gt;&lt;number&gt;7&lt;/number&gt;&lt;keywords&gt;&lt;keyword&gt;Anticonvulsants/*therapeutic use&lt;/keyword&gt;&lt;keyword&gt;Developmental Disabilities/*etiology&lt;/keyword&gt;&lt;keyword&gt;Electroencephalography&lt;/keyword&gt;&lt;keyword&gt;History, 19th Century&lt;/keyword&gt;&lt;keyword&gt;Humans&lt;/keyword&gt;&lt;keyword&gt;*Myoclonic Epilepsy, Juvenile/complications/drug therapy/genetics/history&lt;/keyword&gt;&lt;keyword&gt;Neuroimaging&lt;/keyword&gt;&lt;keyword&gt;behavioral problem&lt;/keyword&gt;&lt;keyword&gt;drug treatment&lt;/keyword&gt;&lt;keyword&gt;epileptogenesis&lt;/keyword&gt;&lt;keyword&gt;genetics&lt;/keyword&gt;&lt;keyword&gt;juvenile myoclonic epilepsy&lt;/keyword&gt;&lt;keyword&gt;remission&lt;/keyword&gt;&lt;keyword&gt;valproic acid&lt;/keyword&gt;&lt;/keywords&gt;&lt;dates&gt;&lt;year&gt;2014&lt;/year&gt;&lt;pub-dates&gt;&lt;date&gt;Jul&lt;/date&gt;&lt;/pub-dates&gt;&lt;/dates&gt;&lt;isbn&gt;1744-8360 (Electronic)&amp;#xD;1473-7175 (Linking)&lt;/isbn&gt;&lt;accession-num&gt;24931665&lt;/accession-num&gt;&lt;urls&gt;&lt;related-urls&gt;&lt;url&gt;http://www.ncbi.nlm.nih.gov/pubmed/24931665&lt;/url&gt;&lt;/related-urls&gt;&lt;/urls&gt;&lt;electronic-resource-num&gt;10.1586/14737175.2014.928203&lt;/electronic-resource-num&gt;&lt;/record&gt;&lt;/Cite&gt;&lt;/EndNote&gt;</w:instrText>
      </w:r>
      <w:r w:rsidR="00AC12CA" w:rsidRPr="00517AED">
        <w:rPr>
          <w:szCs w:val="24"/>
          <w:lang w:val="en-US"/>
        </w:rPr>
        <w:fldChar w:fldCharType="separate"/>
      </w:r>
      <w:r w:rsidR="00517AED" w:rsidRPr="00517AED">
        <w:rPr>
          <w:noProof/>
          <w:szCs w:val="24"/>
          <w:vertAlign w:val="superscript"/>
          <w:lang w:val="en-US"/>
        </w:rPr>
        <w:t>1</w:t>
      </w:r>
      <w:r w:rsidR="00AC12CA" w:rsidRPr="00517AED">
        <w:rPr>
          <w:szCs w:val="24"/>
          <w:lang w:val="en-US"/>
        </w:rPr>
        <w:fldChar w:fldCharType="end"/>
      </w:r>
      <w:r w:rsidRPr="00517AED">
        <w:rPr>
          <w:szCs w:val="24"/>
          <w:lang w:val="en-US"/>
        </w:rPr>
        <w:t>.</w:t>
      </w:r>
      <w:r w:rsidRPr="00786F6D">
        <w:rPr>
          <w:szCs w:val="24"/>
          <w:lang w:val="en-US"/>
        </w:rPr>
        <w:t xml:space="preserve">  </w:t>
      </w:r>
    </w:p>
    <w:p w:rsidR="00FE6900" w:rsidRPr="00786F6D" w:rsidRDefault="00FE6900" w:rsidP="00A6583C">
      <w:pPr>
        <w:spacing w:after="200"/>
        <w:rPr>
          <w:szCs w:val="24"/>
          <w:lang w:val="en-US"/>
        </w:rPr>
      </w:pPr>
      <w:r w:rsidRPr="00786F6D">
        <w:rPr>
          <w:b/>
          <w:bCs/>
          <w:szCs w:val="24"/>
          <w:lang w:val="en-US"/>
        </w:rPr>
        <w:t>Objective</w:t>
      </w:r>
      <w:r>
        <w:rPr>
          <w:b/>
          <w:bCs/>
          <w:szCs w:val="24"/>
          <w:lang w:val="en-US"/>
        </w:rPr>
        <w:t xml:space="preserve">: </w:t>
      </w:r>
      <w:r w:rsidR="003E77DF">
        <w:rPr>
          <w:szCs w:val="24"/>
          <w:lang w:val="en-US"/>
        </w:rPr>
        <w:t>To c</w:t>
      </w:r>
      <w:r w:rsidRPr="00786F6D">
        <w:rPr>
          <w:szCs w:val="24"/>
          <w:lang w:val="en-US"/>
        </w:rPr>
        <w:t>ompare clinical and MRI differences in IGE patients with and without seizure control. </w:t>
      </w:r>
      <w:r w:rsidRPr="00786F6D">
        <w:rPr>
          <w:b/>
          <w:bCs/>
          <w:szCs w:val="24"/>
          <w:lang w:val="en-US"/>
        </w:rPr>
        <w:t xml:space="preserve"> </w:t>
      </w:r>
    </w:p>
    <w:p w:rsidR="00FE6900" w:rsidRPr="00786F6D" w:rsidRDefault="00FE6900" w:rsidP="00A6583C">
      <w:pPr>
        <w:spacing w:after="200"/>
        <w:rPr>
          <w:szCs w:val="24"/>
          <w:lang w:val="en-US"/>
        </w:rPr>
      </w:pPr>
      <w:r w:rsidRPr="00786F6D">
        <w:rPr>
          <w:b/>
          <w:bCs/>
          <w:szCs w:val="24"/>
          <w:lang w:val="en-US"/>
        </w:rPr>
        <w:t>Methods</w:t>
      </w:r>
      <w:r>
        <w:rPr>
          <w:b/>
          <w:bCs/>
          <w:szCs w:val="24"/>
          <w:lang w:val="en-US"/>
        </w:rPr>
        <w:t xml:space="preserve">: </w:t>
      </w:r>
      <w:r w:rsidRPr="00786F6D">
        <w:rPr>
          <w:szCs w:val="24"/>
          <w:lang w:val="en-US"/>
        </w:rPr>
        <w:t>We consecutively recruited 40 IGE patients</w:t>
      </w:r>
      <w:r w:rsidR="00A502DD">
        <w:rPr>
          <w:szCs w:val="24"/>
          <w:lang w:val="en-US"/>
        </w:rPr>
        <w:t xml:space="preserve"> </w:t>
      </w:r>
      <w:r w:rsidRPr="00786F6D">
        <w:rPr>
          <w:szCs w:val="24"/>
          <w:lang w:val="en-US"/>
        </w:rPr>
        <w:t xml:space="preserve"> (25 women, 33± 10 years) and 118 healthy controls</w:t>
      </w:r>
      <w:r w:rsidR="001D5B66">
        <w:rPr>
          <w:szCs w:val="24"/>
          <w:lang w:val="en-US"/>
        </w:rPr>
        <w:t xml:space="preserve">, </w:t>
      </w:r>
      <w:r w:rsidR="001D5B66" w:rsidRPr="001D5B66">
        <w:rPr>
          <w:szCs w:val="24"/>
          <w:lang w:val="en-US"/>
        </w:rPr>
        <w:t>paired for age and gender</w:t>
      </w:r>
      <w:r w:rsidRPr="00786F6D">
        <w:rPr>
          <w:szCs w:val="24"/>
          <w:lang w:val="en-US"/>
        </w:rPr>
        <w:t>. Patients were classified as seizure free (</w:t>
      </w:r>
      <w:r w:rsidR="00A502DD" w:rsidRPr="00786F6D">
        <w:rPr>
          <w:szCs w:val="24"/>
          <w:lang w:val="en-US"/>
        </w:rPr>
        <w:t>SZ-free</w:t>
      </w:r>
      <w:r w:rsidR="00A502DD">
        <w:rPr>
          <w:szCs w:val="24"/>
          <w:lang w:val="en-US"/>
        </w:rPr>
        <w:t>,</w:t>
      </w:r>
      <w:r w:rsidR="00A502DD" w:rsidRPr="00786F6D">
        <w:rPr>
          <w:szCs w:val="24"/>
          <w:lang w:val="en-US"/>
        </w:rPr>
        <w:t xml:space="preserve"> </w:t>
      </w:r>
      <w:r w:rsidRPr="00786F6D">
        <w:rPr>
          <w:szCs w:val="24"/>
          <w:lang w:val="en-US"/>
        </w:rPr>
        <w:t>21 subjects) or refractory seizures (</w:t>
      </w:r>
      <w:r w:rsidR="00A502DD" w:rsidRPr="00786F6D">
        <w:rPr>
          <w:szCs w:val="24"/>
          <w:lang w:val="en-US"/>
        </w:rPr>
        <w:t>SZ-refr</w:t>
      </w:r>
      <w:r w:rsidR="00A502DD">
        <w:rPr>
          <w:szCs w:val="24"/>
          <w:lang w:val="en-US"/>
        </w:rPr>
        <w:t>,</w:t>
      </w:r>
      <w:r w:rsidRPr="00786F6D">
        <w:rPr>
          <w:szCs w:val="24"/>
          <w:lang w:val="en-US"/>
        </w:rPr>
        <w:t xml:space="preserve">19 subjects). All subjects underwent high-resolution T1 weighted images </w:t>
      </w:r>
      <w:r w:rsidR="00A502DD">
        <w:rPr>
          <w:szCs w:val="24"/>
          <w:lang w:val="en-US"/>
        </w:rPr>
        <w:t>s</w:t>
      </w:r>
      <w:r w:rsidR="003E77DF">
        <w:rPr>
          <w:szCs w:val="24"/>
          <w:lang w:val="en-US"/>
        </w:rPr>
        <w:t xml:space="preserve">can </w:t>
      </w:r>
      <w:r w:rsidRPr="00786F6D">
        <w:rPr>
          <w:szCs w:val="24"/>
          <w:lang w:val="en-US"/>
        </w:rPr>
        <w:t xml:space="preserve">on 3T </w:t>
      </w:r>
      <w:r w:rsidR="00A502DD">
        <w:rPr>
          <w:szCs w:val="24"/>
          <w:lang w:val="en-US"/>
        </w:rPr>
        <w:t>MR device</w:t>
      </w:r>
      <w:r w:rsidRPr="00786F6D">
        <w:rPr>
          <w:szCs w:val="24"/>
          <w:lang w:val="en-US"/>
        </w:rPr>
        <w:t xml:space="preserve">. Images were automatically </w:t>
      </w:r>
      <w:proofErr w:type="spellStart"/>
      <w:r w:rsidRPr="00786F6D">
        <w:rPr>
          <w:szCs w:val="24"/>
          <w:lang w:val="en-US"/>
        </w:rPr>
        <w:t>parcellated</w:t>
      </w:r>
      <w:proofErr w:type="spellEnd"/>
      <w:r w:rsidRPr="00786F6D">
        <w:rPr>
          <w:szCs w:val="24"/>
          <w:lang w:val="en-US"/>
        </w:rPr>
        <w:t xml:space="preserve"> with </w:t>
      </w:r>
      <w:proofErr w:type="spellStart"/>
      <w:r w:rsidRPr="00786F6D">
        <w:rPr>
          <w:szCs w:val="24"/>
          <w:lang w:val="en-US"/>
        </w:rPr>
        <w:t>Freesurfer</w:t>
      </w:r>
      <w:proofErr w:type="spellEnd"/>
      <w:r w:rsidRPr="00786F6D">
        <w:rPr>
          <w:szCs w:val="24"/>
          <w:lang w:val="en-US"/>
        </w:rPr>
        <w:t xml:space="preserve"> 5.3. We compared cortical and </w:t>
      </w:r>
      <w:proofErr w:type="spellStart"/>
      <w:r w:rsidRPr="00786F6D">
        <w:rPr>
          <w:szCs w:val="24"/>
          <w:lang w:val="en-US"/>
        </w:rPr>
        <w:t>subcortical</w:t>
      </w:r>
      <w:proofErr w:type="spellEnd"/>
      <w:r w:rsidRPr="00786F6D">
        <w:rPr>
          <w:szCs w:val="24"/>
          <w:lang w:val="en-US"/>
        </w:rPr>
        <w:t xml:space="preserve"> volumes between patients and controls. In a subsequent analysis we searched for differences between patients with and without seizures. </w:t>
      </w:r>
    </w:p>
    <w:p w:rsidR="00FE6900" w:rsidRPr="00786F6D" w:rsidRDefault="00FE6900" w:rsidP="00A6583C">
      <w:pPr>
        <w:spacing w:after="200"/>
        <w:rPr>
          <w:szCs w:val="24"/>
          <w:lang w:val="en-US"/>
        </w:rPr>
      </w:pPr>
      <w:r w:rsidRPr="00786F6D">
        <w:rPr>
          <w:b/>
          <w:bCs/>
          <w:szCs w:val="24"/>
          <w:lang w:val="en-US"/>
        </w:rPr>
        <w:t>Results</w:t>
      </w:r>
      <w:r>
        <w:rPr>
          <w:b/>
          <w:bCs/>
          <w:szCs w:val="24"/>
          <w:lang w:val="en-US"/>
        </w:rPr>
        <w:t xml:space="preserve">: </w:t>
      </w:r>
      <w:r w:rsidRPr="00786F6D">
        <w:rPr>
          <w:szCs w:val="24"/>
          <w:lang w:val="en-US"/>
        </w:rPr>
        <w:t xml:space="preserve">After </w:t>
      </w:r>
      <w:proofErr w:type="spellStart"/>
      <w:r w:rsidRPr="00786F6D">
        <w:rPr>
          <w:szCs w:val="24"/>
          <w:lang w:val="en-US"/>
        </w:rPr>
        <w:t>covarying</w:t>
      </w:r>
      <w:proofErr w:type="spellEnd"/>
      <w:r w:rsidRPr="00786F6D">
        <w:rPr>
          <w:szCs w:val="24"/>
          <w:lang w:val="en-US"/>
        </w:rPr>
        <w:t xml:space="preserve"> MANOVA for intracranial volume, IGE group presented reduced volume of </w:t>
      </w:r>
      <w:proofErr w:type="spellStart"/>
      <w:r w:rsidRPr="00786F6D">
        <w:rPr>
          <w:szCs w:val="24"/>
          <w:lang w:val="en-US"/>
        </w:rPr>
        <w:t>subcortical</w:t>
      </w:r>
      <w:proofErr w:type="spellEnd"/>
      <w:r w:rsidRPr="00786F6D">
        <w:rPr>
          <w:szCs w:val="24"/>
          <w:lang w:val="en-US"/>
        </w:rPr>
        <w:t xml:space="preserve"> grey matter (p&lt;0.05), but not of white matter or cortical GM volume. Cortical thickness was thinner in right </w:t>
      </w:r>
      <w:proofErr w:type="spellStart"/>
      <w:r w:rsidRPr="00786F6D">
        <w:rPr>
          <w:szCs w:val="24"/>
          <w:lang w:val="en-US"/>
        </w:rPr>
        <w:t>precentral</w:t>
      </w:r>
      <w:proofErr w:type="spellEnd"/>
      <w:r w:rsidRPr="00786F6D">
        <w:rPr>
          <w:szCs w:val="24"/>
          <w:lang w:val="en-US"/>
        </w:rPr>
        <w:t xml:space="preserve"> </w:t>
      </w:r>
      <w:proofErr w:type="spellStart"/>
      <w:r w:rsidRPr="00786F6D">
        <w:rPr>
          <w:szCs w:val="24"/>
          <w:lang w:val="en-US"/>
        </w:rPr>
        <w:t>gyrus</w:t>
      </w:r>
      <w:proofErr w:type="spellEnd"/>
      <w:r w:rsidRPr="00786F6D">
        <w:rPr>
          <w:szCs w:val="24"/>
          <w:lang w:val="en-US"/>
        </w:rPr>
        <w:t xml:space="preserve"> and left </w:t>
      </w:r>
      <w:proofErr w:type="spellStart"/>
      <w:r w:rsidRPr="00786F6D">
        <w:rPr>
          <w:szCs w:val="24"/>
          <w:lang w:val="en-US"/>
        </w:rPr>
        <w:t>paracentral</w:t>
      </w:r>
      <w:proofErr w:type="spellEnd"/>
      <w:r w:rsidRPr="00786F6D">
        <w:rPr>
          <w:szCs w:val="24"/>
          <w:lang w:val="en-US"/>
        </w:rPr>
        <w:t xml:space="preserve"> area. </w:t>
      </w:r>
      <w:r w:rsidR="00A502DD">
        <w:rPr>
          <w:szCs w:val="24"/>
          <w:lang w:val="en-US"/>
        </w:rPr>
        <w:t>The thalamus volume is</w:t>
      </w:r>
      <w:r w:rsidRPr="00786F6D">
        <w:rPr>
          <w:szCs w:val="24"/>
          <w:lang w:val="en-US"/>
        </w:rPr>
        <w:t xml:space="preserve"> indicated in figure 1. Clinically, SZ-free and SZ-ref groups were balanced for gender, age, age of onset and occurrence of absence seizures. A preliminary analysis with logistic regression (SZ-free x SZ-</w:t>
      </w:r>
      <w:proofErr w:type="spellStart"/>
      <w:r w:rsidRPr="00786F6D">
        <w:rPr>
          <w:szCs w:val="24"/>
          <w:lang w:val="en-US"/>
        </w:rPr>
        <w:t>refr</w:t>
      </w:r>
      <w:proofErr w:type="spellEnd"/>
      <w:r w:rsidRPr="00786F6D">
        <w:rPr>
          <w:szCs w:val="24"/>
          <w:lang w:val="en-US"/>
        </w:rPr>
        <w:t xml:space="preserve">) suggested that presence of </w:t>
      </w:r>
      <w:proofErr w:type="spellStart"/>
      <w:r w:rsidRPr="00786F6D">
        <w:rPr>
          <w:szCs w:val="24"/>
          <w:lang w:val="en-US"/>
        </w:rPr>
        <w:t>my</w:t>
      </w:r>
      <w:r w:rsidR="00A502DD">
        <w:rPr>
          <w:szCs w:val="24"/>
          <w:lang w:val="en-US"/>
        </w:rPr>
        <w:t>o</w:t>
      </w:r>
      <w:r w:rsidRPr="00786F6D">
        <w:rPr>
          <w:szCs w:val="24"/>
          <w:lang w:val="en-US"/>
        </w:rPr>
        <w:t>clonus</w:t>
      </w:r>
      <w:proofErr w:type="spellEnd"/>
      <w:r w:rsidRPr="00786F6D">
        <w:rPr>
          <w:szCs w:val="24"/>
          <w:lang w:val="en-US"/>
        </w:rPr>
        <w:t xml:space="preserve"> was associated with persistent seizures (p=0.017).</w:t>
      </w:r>
    </w:p>
    <w:p w:rsidR="00FE6900" w:rsidRPr="00786F6D" w:rsidRDefault="00FE6900" w:rsidP="00A6583C">
      <w:pPr>
        <w:spacing w:after="200"/>
        <w:rPr>
          <w:szCs w:val="24"/>
          <w:lang w:val="en-US"/>
        </w:rPr>
      </w:pPr>
      <w:r w:rsidRPr="00786F6D">
        <w:rPr>
          <w:b/>
          <w:bCs/>
          <w:szCs w:val="24"/>
          <w:lang w:val="en-US"/>
        </w:rPr>
        <w:t>Discussion</w:t>
      </w:r>
      <w:r>
        <w:rPr>
          <w:b/>
          <w:bCs/>
          <w:szCs w:val="24"/>
          <w:lang w:val="en-US"/>
        </w:rPr>
        <w:t xml:space="preserve">: </w:t>
      </w:r>
      <w:r w:rsidRPr="00786F6D">
        <w:rPr>
          <w:szCs w:val="24"/>
          <w:lang w:val="en-US"/>
        </w:rPr>
        <w:t xml:space="preserve">Our results indicate that some IGE patients persist with seizures despite medication, even with </w:t>
      </w:r>
      <w:proofErr w:type="spellStart"/>
      <w:r w:rsidRPr="00786F6D">
        <w:rPr>
          <w:szCs w:val="24"/>
          <w:lang w:val="en-US"/>
        </w:rPr>
        <w:t>polytherapy</w:t>
      </w:r>
      <w:proofErr w:type="spellEnd"/>
      <w:r w:rsidRPr="00786F6D">
        <w:rPr>
          <w:szCs w:val="24"/>
          <w:lang w:val="en-US"/>
        </w:rPr>
        <w:t xml:space="preserve">. These preliminary analyses suggest that thalamic volume is reduced in controlled patients, who also present less </w:t>
      </w:r>
      <w:proofErr w:type="spellStart"/>
      <w:r w:rsidRPr="00786F6D">
        <w:rPr>
          <w:szCs w:val="24"/>
          <w:lang w:val="en-US"/>
        </w:rPr>
        <w:t>myoclonus</w:t>
      </w:r>
      <w:proofErr w:type="spellEnd"/>
      <w:r w:rsidRPr="00786F6D">
        <w:rPr>
          <w:szCs w:val="24"/>
          <w:lang w:val="en-US"/>
        </w:rPr>
        <w:t xml:space="preserve"> than patients with seizures. Further analyses with white matter and functional connectivity may add information about factors related to differences in seizure control. </w:t>
      </w:r>
    </w:p>
    <w:p w:rsidR="0020713D" w:rsidRDefault="0020713D" w:rsidP="0020713D">
      <w:pPr>
        <w:jc w:val="left"/>
        <w:rPr>
          <w:b/>
          <w:sz w:val="28"/>
          <w:lang w:val="en-US"/>
        </w:rPr>
      </w:pPr>
      <w:r>
        <w:rPr>
          <w:b/>
          <w:sz w:val="28"/>
          <w:lang w:val="en-US"/>
        </w:rPr>
        <w:t>Charge 1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        Charge </w:t>
      </w:r>
      <w:r w:rsidR="00A6583C">
        <w:rPr>
          <w:b/>
          <w:sz w:val="28"/>
          <w:lang w:val="en-US"/>
        </w:rPr>
        <w:t>2</w:t>
      </w:r>
    </w:p>
    <w:p w:rsidR="0020713D" w:rsidRDefault="0020713D" w:rsidP="0020713D">
      <w:pPr>
        <w:jc w:val="left"/>
        <w:rPr>
          <w:b/>
          <w:sz w:val="28"/>
          <w:lang w:val="en-US"/>
        </w:rPr>
      </w:pPr>
    </w:p>
    <w:p w:rsidR="00A6583C" w:rsidRDefault="00EC576E" w:rsidP="0020713D">
      <w:pPr>
        <w:jc w:val="left"/>
        <w:rPr>
          <w:b/>
          <w:sz w:val="28"/>
          <w:lang w:val="en-US"/>
        </w:rPr>
      </w:pPr>
      <w:r w:rsidRPr="00EC576E">
        <w:rPr>
          <w:b/>
          <w:noProof/>
          <w:sz w:val="28"/>
          <w:lang w:eastAsia="pt-BR"/>
        </w:rPr>
        <w:drawing>
          <wp:inline distT="0" distB="0" distL="0" distR="0">
            <wp:extent cx="2382956" cy="1740089"/>
            <wp:effectExtent l="19050" t="0" r="0" b="0"/>
            <wp:docPr id="10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50" cy="1743882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465" w:rsidRPr="00517AED">
        <w:rPr>
          <w:b/>
          <w:noProof/>
          <w:sz w:val="28"/>
          <w:lang w:val="en-US" w:eastAsia="pt-BR"/>
        </w:rPr>
        <w:t xml:space="preserve">  </w:t>
      </w:r>
      <w:r w:rsidR="00A6583C">
        <w:rPr>
          <w:b/>
          <w:sz w:val="28"/>
          <w:lang w:val="en-US"/>
        </w:rPr>
        <w:t xml:space="preserve">      </w:t>
      </w:r>
      <w:r w:rsidR="004C47C0">
        <w:rPr>
          <w:b/>
          <w:sz w:val="28"/>
          <w:lang w:val="en-US"/>
        </w:rPr>
        <w:t xml:space="preserve">       </w:t>
      </w:r>
      <w:r w:rsidR="00A6583C">
        <w:rPr>
          <w:b/>
          <w:sz w:val="28"/>
          <w:lang w:val="en-US"/>
        </w:rPr>
        <w:t xml:space="preserve">   </w:t>
      </w:r>
      <w:r w:rsidRPr="00EC576E">
        <w:rPr>
          <w:b/>
          <w:noProof/>
          <w:sz w:val="28"/>
          <w:lang w:eastAsia="pt-BR"/>
        </w:rPr>
        <w:drawing>
          <wp:inline distT="0" distB="0" distL="0" distR="0">
            <wp:extent cx="2505786" cy="1828800"/>
            <wp:effectExtent l="19050" t="0" r="8814" b="0"/>
            <wp:docPr id="1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94" cy="182975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ED" w:rsidRDefault="00517AED" w:rsidP="00517AED">
      <w:pPr>
        <w:jc w:val="left"/>
        <w:rPr>
          <w:b/>
          <w:sz w:val="28"/>
          <w:lang w:val="en-US"/>
        </w:rPr>
      </w:pPr>
    </w:p>
    <w:p w:rsidR="00FE6900" w:rsidRPr="00A6583C" w:rsidRDefault="00FE6900" w:rsidP="00517AED">
      <w:pPr>
        <w:jc w:val="left"/>
        <w:rPr>
          <w:b/>
          <w:sz w:val="28"/>
          <w:lang w:val="en-US"/>
        </w:rPr>
      </w:pPr>
      <w:r w:rsidRPr="00A6583C">
        <w:rPr>
          <w:bCs/>
          <w:lang w:val="en-US"/>
        </w:rPr>
        <w:t>Charge 1 – Controls and Patients Thalamic volumes</w:t>
      </w:r>
    </w:p>
    <w:p w:rsidR="00FE6900" w:rsidRDefault="00FE6900" w:rsidP="00517AED">
      <w:pPr>
        <w:jc w:val="left"/>
        <w:rPr>
          <w:bCs/>
          <w:lang w:val="en-US"/>
        </w:rPr>
      </w:pPr>
      <w:r w:rsidRPr="00A6583C">
        <w:rPr>
          <w:bCs/>
          <w:lang w:val="en-US"/>
        </w:rPr>
        <w:t>Charge 2 – Contr</w:t>
      </w:r>
      <w:r w:rsidR="00D46465">
        <w:rPr>
          <w:bCs/>
          <w:lang w:val="en-US"/>
        </w:rPr>
        <w:t>ols</w:t>
      </w:r>
      <w:r w:rsidRPr="00A6583C">
        <w:rPr>
          <w:bCs/>
          <w:lang w:val="en-US"/>
        </w:rPr>
        <w:t xml:space="preserve"> and Refractory patients Thalamic volumes</w:t>
      </w:r>
    </w:p>
    <w:p w:rsidR="00517AED" w:rsidRDefault="00517AED" w:rsidP="00517AED">
      <w:pPr>
        <w:rPr>
          <w:lang w:val="en-US"/>
        </w:rPr>
      </w:pPr>
    </w:p>
    <w:p w:rsidR="00A6583C" w:rsidRDefault="00517AED" w:rsidP="00517AED">
      <w:pPr>
        <w:rPr>
          <w:b/>
          <w:lang w:val="en-US"/>
        </w:rPr>
      </w:pPr>
      <w:r w:rsidRPr="00102007">
        <w:rPr>
          <w:lang w:val="en-US"/>
        </w:rPr>
        <w:t>[1]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Koepp</w:t>
      </w:r>
      <w:proofErr w:type="spellEnd"/>
      <w:r>
        <w:rPr>
          <w:lang w:val="en-US"/>
        </w:rPr>
        <w:t xml:space="preserve"> MJ et al., Expert Rev </w:t>
      </w:r>
      <w:proofErr w:type="spellStart"/>
      <w:r>
        <w:rPr>
          <w:lang w:val="en-US"/>
        </w:rPr>
        <w:t>Neurother</w:t>
      </w:r>
      <w:proofErr w:type="spellEnd"/>
      <w:r>
        <w:rPr>
          <w:lang w:val="en-US"/>
        </w:rPr>
        <w:t xml:space="preserve"> 14 (7): 819-831, 2014. </w:t>
      </w:r>
    </w:p>
    <w:sectPr w:rsidR="00A6583C" w:rsidSect="00743343">
      <w:headerReference w:type="default" r:id="rId8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27" w:rsidRDefault="008A5A27" w:rsidP="00743343">
      <w:r>
        <w:separator/>
      </w:r>
    </w:p>
  </w:endnote>
  <w:endnote w:type="continuationSeparator" w:id="0">
    <w:p w:rsidR="008A5A27" w:rsidRDefault="008A5A27" w:rsidP="0074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27" w:rsidRDefault="008A5A27" w:rsidP="00743343">
      <w:r>
        <w:separator/>
      </w:r>
    </w:p>
  </w:footnote>
  <w:footnote w:type="continuationSeparator" w:id="0">
    <w:p w:rsidR="008A5A27" w:rsidRDefault="008A5A27" w:rsidP="00743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43" w:rsidRPr="000557A7" w:rsidRDefault="00AC12CA" w:rsidP="000557A7">
    <w:pPr>
      <w:pStyle w:val="Cabealho"/>
      <w:jc w:val="right"/>
      <w:rPr>
        <w:rFonts w:asciiTheme="minorHAnsi" w:hAnsiTheme="minorHAnsi"/>
        <w:lang w:val="en-US"/>
      </w:rPr>
    </w:pPr>
    <w:r w:rsidRPr="00AC12C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left:0;text-align:left;margin-left:422.25pt;margin-top:-29.75pt;width:113.15pt;height:45.7pt;z-index:251660288;mso-width-relative:margin;mso-height-relative:margin" stroked="f">
          <v:textbox style="mso-next-textbox:#_x0000_s15361">
            <w:txbxContent>
              <w:p w:rsid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rd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BRAINN Congress</w:t>
                </w:r>
              </w:p>
              <w:p w:rsid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April 11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– 13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2016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</w:t>
                </w:r>
              </w:p>
              <w:p w:rsidR="000557A7" w:rsidRP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Campinas, SP</w:t>
                </w:r>
                <w:r w:rsidR="00FB6EFE">
                  <w:rPr>
                    <w:rFonts w:asciiTheme="minorHAnsi" w:hAnsiTheme="minorHAnsi"/>
                    <w:b/>
                    <w:sz w:val="20"/>
                    <w:lang w:val="en-US"/>
                  </w:rPr>
                  <w:t>, Brazil</w:t>
                </w:r>
              </w:p>
            </w:txbxContent>
          </v:textbox>
        </v:shape>
      </w:pic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lepsia Numbered 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5rz90xzkr0v92ew52f5evvn0a0aa5vszr0z&quot;&gt;My EndNote Library&lt;record-ids&gt;&lt;item&gt;2&lt;/item&gt;&lt;/record-ids&gt;&lt;/item&gt;&lt;/Libraries&gt;"/>
  </w:docVars>
  <w:rsids>
    <w:rsidRoot w:val="002F1EA5"/>
    <w:rsid w:val="0003597F"/>
    <w:rsid w:val="00042C87"/>
    <w:rsid w:val="00050EDC"/>
    <w:rsid w:val="000557A7"/>
    <w:rsid w:val="000D4088"/>
    <w:rsid w:val="00102007"/>
    <w:rsid w:val="001D5B66"/>
    <w:rsid w:val="0020713D"/>
    <w:rsid w:val="00262DE0"/>
    <w:rsid w:val="00263FB4"/>
    <w:rsid w:val="00264FBA"/>
    <w:rsid w:val="002C3BE6"/>
    <w:rsid w:val="002E5535"/>
    <w:rsid w:val="002F1EA5"/>
    <w:rsid w:val="00322004"/>
    <w:rsid w:val="003513A8"/>
    <w:rsid w:val="003578F7"/>
    <w:rsid w:val="003B0DB9"/>
    <w:rsid w:val="003B3D1A"/>
    <w:rsid w:val="003E77DF"/>
    <w:rsid w:val="004061C0"/>
    <w:rsid w:val="00463BB7"/>
    <w:rsid w:val="004647A5"/>
    <w:rsid w:val="0049470E"/>
    <w:rsid w:val="00495481"/>
    <w:rsid w:val="004C47C0"/>
    <w:rsid w:val="004D3FC7"/>
    <w:rsid w:val="00517AED"/>
    <w:rsid w:val="005E1B59"/>
    <w:rsid w:val="00661827"/>
    <w:rsid w:val="00743343"/>
    <w:rsid w:val="007B35CF"/>
    <w:rsid w:val="00832B02"/>
    <w:rsid w:val="008A5A27"/>
    <w:rsid w:val="00993F73"/>
    <w:rsid w:val="009A18AC"/>
    <w:rsid w:val="009D3949"/>
    <w:rsid w:val="009F47C8"/>
    <w:rsid w:val="00A25F3B"/>
    <w:rsid w:val="00A502DD"/>
    <w:rsid w:val="00A6583C"/>
    <w:rsid w:val="00AC12CA"/>
    <w:rsid w:val="00AD5A4B"/>
    <w:rsid w:val="00B52F14"/>
    <w:rsid w:val="00B64A0D"/>
    <w:rsid w:val="00C171DE"/>
    <w:rsid w:val="00C46503"/>
    <w:rsid w:val="00C85417"/>
    <w:rsid w:val="00D46465"/>
    <w:rsid w:val="00D46F01"/>
    <w:rsid w:val="00E24564"/>
    <w:rsid w:val="00EA6C72"/>
    <w:rsid w:val="00EC576E"/>
    <w:rsid w:val="00F52674"/>
    <w:rsid w:val="00FB6EFE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517AED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517AED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17AED"/>
    <w:pPr>
      <w:jc w:val="left"/>
    </w:pPr>
    <w:rPr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517AED"/>
    <w:rPr>
      <w:rFonts w:ascii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admin</cp:lastModifiedBy>
  <cp:revision>8</cp:revision>
  <dcterms:created xsi:type="dcterms:W3CDTF">2016-03-08T11:52:00Z</dcterms:created>
  <dcterms:modified xsi:type="dcterms:W3CDTF">2016-03-09T10:29:00Z</dcterms:modified>
</cp:coreProperties>
</file>