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A5" w:rsidRDefault="00BA25A4" w:rsidP="002F1EA5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Worse c</w:t>
      </w:r>
      <w:r w:rsidR="00C3469F">
        <w:rPr>
          <w:b/>
          <w:sz w:val="28"/>
          <w:lang w:val="en-US"/>
        </w:rPr>
        <w:t>ognitive</w:t>
      </w:r>
      <w:r>
        <w:rPr>
          <w:b/>
          <w:sz w:val="28"/>
          <w:lang w:val="en-US"/>
        </w:rPr>
        <w:t xml:space="preserve"> performance</w:t>
      </w:r>
      <w:r w:rsidR="00C3469F">
        <w:rPr>
          <w:b/>
          <w:sz w:val="28"/>
          <w:lang w:val="en-US"/>
        </w:rPr>
        <w:t xml:space="preserve"> is associated to Default Mode Network abnormalities in ischemic stroke</w:t>
      </w:r>
    </w:p>
    <w:p w:rsidR="00E24564" w:rsidRPr="00E24564" w:rsidRDefault="00E24564" w:rsidP="002F1EA5">
      <w:pPr>
        <w:jc w:val="center"/>
        <w:rPr>
          <w:lang w:val="en-US"/>
        </w:rPr>
      </w:pPr>
    </w:p>
    <w:p w:rsidR="002F1EA5" w:rsidRPr="00C3469F" w:rsidRDefault="00C3469F" w:rsidP="002F1EA5">
      <w:pPr>
        <w:jc w:val="center"/>
      </w:pPr>
      <w:r w:rsidRPr="00C3469F">
        <w:t>J</w:t>
      </w:r>
      <w:r w:rsidR="002F1EA5" w:rsidRPr="00C3469F">
        <w:t xml:space="preserve">. </w:t>
      </w:r>
      <w:r w:rsidRPr="00C3469F">
        <w:t>E</w:t>
      </w:r>
      <w:r w:rsidR="002F1EA5" w:rsidRPr="00C3469F">
        <w:t xml:space="preserve">. </w:t>
      </w:r>
      <w:r w:rsidRPr="00C3469F">
        <w:t>Vicentini</w:t>
      </w:r>
      <w:r w:rsidR="002F1EA5" w:rsidRPr="00C3469F">
        <w:rPr>
          <w:vertAlign w:val="superscript"/>
        </w:rPr>
        <w:t>1</w:t>
      </w:r>
      <w:r w:rsidR="002F1EA5" w:rsidRPr="00C3469F">
        <w:t>,</w:t>
      </w:r>
      <w:r w:rsidRPr="00C3469F">
        <w:t xml:space="preserve"> </w:t>
      </w:r>
      <w:proofErr w:type="spellStart"/>
      <w:r w:rsidR="00F66CFC">
        <w:t>B.M.</w:t>
      </w:r>
      <w:proofErr w:type="spellEnd"/>
      <w:r w:rsidR="00F66CFC">
        <w:t xml:space="preserve"> </w:t>
      </w:r>
      <w:r w:rsidR="00F66CFC" w:rsidRPr="00F66CFC">
        <w:t>Campos</w:t>
      </w:r>
      <w:r w:rsidR="00F66CFC">
        <w:rPr>
          <w:vertAlign w:val="superscript"/>
        </w:rPr>
        <w:t>1</w:t>
      </w:r>
      <w:r w:rsidR="00F66CFC">
        <w:t xml:space="preserve">, </w:t>
      </w:r>
      <w:proofErr w:type="spellStart"/>
      <w:r w:rsidR="00F66CFC">
        <w:t>S.R.M.</w:t>
      </w:r>
      <w:proofErr w:type="spellEnd"/>
      <w:r w:rsidR="00F66CFC">
        <w:t xml:space="preserve"> Almeida</w:t>
      </w:r>
      <w:r w:rsidR="00F66CFC">
        <w:rPr>
          <w:vertAlign w:val="superscript"/>
        </w:rPr>
        <w:t>1</w:t>
      </w:r>
      <w:r w:rsidR="00F66CFC">
        <w:t>, L. Valler</w:t>
      </w:r>
      <w:r w:rsidR="00F66CFC">
        <w:rPr>
          <w:vertAlign w:val="superscript"/>
        </w:rPr>
        <w:t>1</w:t>
      </w:r>
      <w:r w:rsidR="00F66CFC">
        <w:t xml:space="preserve">, </w:t>
      </w:r>
      <w:r w:rsidRPr="00F66CFC">
        <w:t>L</w:t>
      </w:r>
      <w:r w:rsidR="002F1EA5" w:rsidRPr="00C3469F">
        <w:t xml:space="preserve">. </w:t>
      </w:r>
      <w:r w:rsidRPr="00C3469F">
        <w:t>M</w:t>
      </w:r>
      <w:r w:rsidR="002F1EA5" w:rsidRPr="00C3469F">
        <w:t xml:space="preserve">. </w:t>
      </w:r>
      <w:r w:rsidRPr="00C3469F">
        <w:t>Li</w:t>
      </w:r>
      <w:r w:rsidRPr="00C3469F">
        <w:rPr>
          <w:vertAlign w:val="superscript"/>
        </w:rPr>
        <w:t>1</w:t>
      </w:r>
    </w:p>
    <w:p w:rsidR="00263FB4" w:rsidRDefault="002F1EA5" w:rsidP="002F1EA5">
      <w:pPr>
        <w:jc w:val="center"/>
        <w:rPr>
          <w:sz w:val="20"/>
          <w:lang w:val="en-US"/>
        </w:rPr>
      </w:pPr>
      <w:r w:rsidRPr="002F1EA5">
        <w:rPr>
          <w:sz w:val="20"/>
          <w:vertAlign w:val="superscript"/>
          <w:lang w:val="en-US"/>
        </w:rPr>
        <w:t>1</w:t>
      </w:r>
      <w:r w:rsidR="00C3469F">
        <w:rPr>
          <w:sz w:val="20"/>
          <w:lang w:val="en-US"/>
        </w:rPr>
        <w:t xml:space="preserve"> Neurology</w:t>
      </w:r>
      <w:r w:rsidR="00263FB4">
        <w:rPr>
          <w:sz w:val="20"/>
          <w:lang w:val="en-US"/>
        </w:rPr>
        <w:t xml:space="preserve"> Dept., FCM, UNICAMP</w:t>
      </w:r>
      <w:bookmarkStart w:id="0" w:name="_GoBack"/>
      <w:bookmarkEnd w:id="0"/>
    </w:p>
    <w:p w:rsidR="00C3469F" w:rsidRDefault="00C3469F" w:rsidP="002F1EA5">
      <w:pPr>
        <w:jc w:val="center"/>
        <w:rPr>
          <w:lang w:val="en-US"/>
        </w:rPr>
      </w:pPr>
    </w:p>
    <w:p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1B2EA5">
        <w:rPr>
          <w:lang w:val="en-US"/>
        </w:rPr>
        <w:t>O</w:t>
      </w:r>
      <w:r w:rsidR="00C3469F">
        <w:rPr>
          <w:lang w:val="en-US"/>
        </w:rPr>
        <w:t>ne-third of patients that suffered a stroke will face cognitive decline, which negatively impacts outcome</w:t>
      </w:r>
      <w:r w:rsidR="001A576A">
        <w:rPr>
          <w:vertAlign w:val="superscript"/>
          <w:lang w:val="en-US"/>
        </w:rPr>
        <w:t>1</w:t>
      </w:r>
      <w:r w:rsidR="00C3469F">
        <w:rPr>
          <w:lang w:val="en-US"/>
        </w:rPr>
        <w:t xml:space="preserve">. </w:t>
      </w:r>
      <w:r w:rsidR="001B2EA5">
        <w:rPr>
          <w:lang w:val="en-US"/>
        </w:rPr>
        <w:t>Resting-state functional connectivity is defined as temporal correlation between spatially remote regions of brain</w:t>
      </w:r>
      <w:r w:rsidR="001B2EA5">
        <w:rPr>
          <w:vertAlign w:val="superscript"/>
          <w:lang w:val="en-US"/>
        </w:rPr>
        <w:t>2</w:t>
      </w:r>
      <w:r w:rsidR="001B2EA5">
        <w:rPr>
          <w:lang w:val="en-US"/>
        </w:rPr>
        <w:t xml:space="preserve">. </w:t>
      </w:r>
      <w:r w:rsidR="00C3469F">
        <w:rPr>
          <w:lang w:val="en-US"/>
        </w:rPr>
        <w:t>The</w:t>
      </w:r>
      <w:r w:rsidR="001B2EA5">
        <w:rPr>
          <w:lang w:val="en-US"/>
        </w:rPr>
        <w:t xml:space="preserve"> Default Mode Network (DMN) is one of most prominent</w:t>
      </w:r>
      <w:r w:rsidR="00C3469F">
        <w:rPr>
          <w:lang w:val="en-US"/>
        </w:rPr>
        <w:t xml:space="preserve"> resting-state functional network </w:t>
      </w:r>
      <w:r w:rsidR="001B2EA5">
        <w:rPr>
          <w:lang w:val="en-US"/>
        </w:rPr>
        <w:t>and it</w:t>
      </w:r>
      <w:r w:rsidR="00C3469F">
        <w:rPr>
          <w:lang w:val="en-US"/>
        </w:rPr>
        <w:t xml:space="preserve"> has been associated to cognitive and emotional processing. </w:t>
      </w:r>
      <w:r w:rsidR="00734623">
        <w:rPr>
          <w:lang w:val="en-US"/>
        </w:rPr>
        <w:t>We aimed to investigate whether resting state functional connectivity of DMN was associated to cognitive performance in stroke patients.</w:t>
      </w:r>
    </w:p>
    <w:p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</w:t>
      </w:r>
      <w:r w:rsidR="00741DD6">
        <w:rPr>
          <w:lang w:val="en-US"/>
        </w:rPr>
        <w:t xml:space="preserve">The present study was approved by ethics committee and all individuals gave written informed consent for their participation. </w:t>
      </w:r>
      <w:r w:rsidR="00734623">
        <w:rPr>
          <w:lang w:val="en-US"/>
        </w:rPr>
        <w:t xml:space="preserve">Thirty-four </w:t>
      </w:r>
      <w:proofErr w:type="spellStart"/>
      <w:r w:rsidR="00610D83">
        <w:rPr>
          <w:lang w:val="en-US"/>
        </w:rPr>
        <w:t>subacute</w:t>
      </w:r>
      <w:proofErr w:type="spellEnd"/>
      <w:r w:rsidR="00610D83">
        <w:rPr>
          <w:lang w:val="en-US"/>
        </w:rPr>
        <w:t xml:space="preserve"> </w:t>
      </w:r>
      <w:r w:rsidR="00220B9C">
        <w:rPr>
          <w:lang w:val="en-US"/>
        </w:rPr>
        <w:t xml:space="preserve">(less </w:t>
      </w:r>
      <w:r w:rsidR="00AD2477">
        <w:rPr>
          <w:lang w:val="en-US"/>
        </w:rPr>
        <w:t>than one month</w:t>
      </w:r>
      <w:r w:rsidR="00220B9C">
        <w:rPr>
          <w:lang w:val="en-US"/>
        </w:rPr>
        <w:t xml:space="preserve"> from the ictus) </w:t>
      </w:r>
      <w:r w:rsidR="00610D83">
        <w:rPr>
          <w:lang w:val="en-US"/>
        </w:rPr>
        <w:t xml:space="preserve">stroke </w:t>
      </w:r>
      <w:r w:rsidR="00734623">
        <w:rPr>
          <w:lang w:val="en-US"/>
        </w:rPr>
        <w:t xml:space="preserve">patients </w:t>
      </w:r>
      <w:r w:rsidR="00741DD6">
        <w:rPr>
          <w:lang w:val="en-US"/>
        </w:rPr>
        <w:t xml:space="preserve">aged between 45-80 </w:t>
      </w:r>
      <w:r w:rsidR="001B2EA5">
        <w:rPr>
          <w:lang w:val="en-US"/>
        </w:rPr>
        <w:t xml:space="preserve">who had experienced their first-ever ischemia and without previous neurological history </w:t>
      </w:r>
      <w:r w:rsidR="00734623">
        <w:rPr>
          <w:lang w:val="en-US"/>
        </w:rPr>
        <w:t>were submitted to: 1) neuropsychological evaluation through Montreal Cognitive Assessment (</w:t>
      </w:r>
      <w:proofErr w:type="spellStart"/>
      <w:r w:rsidR="00734623">
        <w:rPr>
          <w:lang w:val="en-US"/>
        </w:rPr>
        <w:t>MoCA</w:t>
      </w:r>
      <w:proofErr w:type="spellEnd"/>
      <w:r w:rsidR="00734623">
        <w:rPr>
          <w:lang w:val="en-US"/>
        </w:rPr>
        <w:t>) and 2) functional Magnetic Resonance Imaging (</w:t>
      </w:r>
      <w:proofErr w:type="spellStart"/>
      <w:r w:rsidR="00734623">
        <w:rPr>
          <w:lang w:val="en-US"/>
        </w:rPr>
        <w:t>fMRI</w:t>
      </w:r>
      <w:proofErr w:type="spellEnd"/>
      <w:r w:rsidR="00734623">
        <w:rPr>
          <w:lang w:val="en-US"/>
        </w:rPr>
        <w:t>)</w:t>
      </w:r>
      <w:r w:rsidR="001B2EA5">
        <w:rPr>
          <w:lang w:val="en-US"/>
        </w:rPr>
        <w:t xml:space="preserve"> acquisition</w:t>
      </w:r>
      <w:r w:rsidR="001B2EA5" w:rsidRPr="00067AA8">
        <w:rPr>
          <w:lang w:val="en-US"/>
        </w:rPr>
        <w:t xml:space="preserve"> using a 3T</w:t>
      </w:r>
      <w:r w:rsidR="001B2EA5">
        <w:rPr>
          <w:lang w:val="en-US"/>
        </w:rPr>
        <w:t xml:space="preserve"> scanner (</w:t>
      </w:r>
      <w:r w:rsidR="001B2EA5" w:rsidRPr="00067AA8">
        <w:rPr>
          <w:lang w:val="en-US"/>
        </w:rPr>
        <w:t>P</w:t>
      </w:r>
      <w:r w:rsidR="001B2EA5">
        <w:rPr>
          <w:lang w:val="en-US"/>
        </w:rPr>
        <w:t xml:space="preserve">hilips </w:t>
      </w:r>
      <w:proofErr w:type="spellStart"/>
      <w:r w:rsidR="001B2EA5" w:rsidRPr="00067AA8">
        <w:rPr>
          <w:lang w:val="en-US"/>
        </w:rPr>
        <w:t>Achieva</w:t>
      </w:r>
      <w:proofErr w:type="spellEnd"/>
      <w:r w:rsidR="001B2EA5">
        <w:rPr>
          <w:lang w:val="en-US"/>
        </w:rPr>
        <w:t>®)</w:t>
      </w:r>
      <w:r w:rsidR="001B2EA5" w:rsidRPr="00067AA8">
        <w:rPr>
          <w:lang w:val="en-US"/>
        </w:rPr>
        <w:t>.</w:t>
      </w:r>
      <w:r w:rsidR="001B2EA5">
        <w:rPr>
          <w:lang w:val="en-US"/>
        </w:rPr>
        <w:t xml:space="preserve"> The image processing were based on</w:t>
      </w:r>
      <w:r w:rsidR="001B2EA5" w:rsidRPr="00D616E5">
        <w:rPr>
          <w:lang w:val="en-US"/>
        </w:rPr>
        <w:t xml:space="preserve"> </w:t>
      </w:r>
      <w:r w:rsidR="001B2EA5">
        <w:rPr>
          <w:lang w:val="en-US"/>
        </w:rPr>
        <w:t xml:space="preserve">realignment, </w:t>
      </w:r>
      <w:r w:rsidR="001B2EA5" w:rsidRPr="00D616E5">
        <w:rPr>
          <w:lang w:val="en-US"/>
        </w:rPr>
        <w:t>segment</w:t>
      </w:r>
      <w:r w:rsidR="001B2EA5">
        <w:rPr>
          <w:lang w:val="en-US"/>
        </w:rPr>
        <w:t>ation</w:t>
      </w:r>
      <w:r w:rsidR="001B2EA5" w:rsidRPr="00D616E5">
        <w:rPr>
          <w:lang w:val="en-US"/>
        </w:rPr>
        <w:t>, normaliz</w:t>
      </w:r>
      <w:r w:rsidR="001B2EA5">
        <w:rPr>
          <w:lang w:val="en-US"/>
        </w:rPr>
        <w:t>ation (MNI-152) and smoothing,</w:t>
      </w:r>
      <w:r w:rsidR="001B2EA5" w:rsidRPr="00D616E5">
        <w:rPr>
          <w:lang w:val="en-US"/>
        </w:rPr>
        <w:t xml:space="preserve"> using UF</w:t>
      </w:r>
      <w:r w:rsidR="001B2EA5" w:rsidRPr="00D616E5">
        <w:rPr>
          <w:vertAlign w:val="superscript"/>
          <w:lang w:val="en-US"/>
        </w:rPr>
        <w:t>2</w:t>
      </w:r>
      <w:r w:rsidR="001B2EA5">
        <w:rPr>
          <w:lang w:val="en-US"/>
        </w:rPr>
        <w:t>C (</w:t>
      </w:r>
      <w:r w:rsidR="001B2EA5" w:rsidRPr="00D616E5">
        <w:rPr>
          <w:lang w:val="en-US"/>
        </w:rPr>
        <w:t>User Friendly Functional Connectivity</w:t>
      </w:r>
      <w:r w:rsidR="001B2EA5">
        <w:rPr>
          <w:lang w:val="en-US"/>
        </w:rPr>
        <w:t>)</w:t>
      </w:r>
      <w:r w:rsidR="001B2EA5" w:rsidRPr="00D616E5">
        <w:rPr>
          <w:lang w:val="en-US"/>
        </w:rPr>
        <w:t xml:space="preserve"> </w:t>
      </w:r>
      <w:r w:rsidR="001B2EA5">
        <w:rPr>
          <w:lang w:val="en-US"/>
        </w:rPr>
        <w:t>toolbox</w:t>
      </w:r>
      <w:r w:rsidR="00734623">
        <w:rPr>
          <w:lang w:val="en-US"/>
        </w:rPr>
        <w:t xml:space="preserve">. </w:t>
      </w:r>
      <w:r w:rsidR="0039443C">
        <w:rPr>
          <w:lang w:val="en-US"/>
        </w:rPr>
        <w:t>One-way analysis of variance was performed in SPM12 for M</w:t>
      </w:r>
      <w:r w:rsidR="00C922C0">
        <w:rPr>
          <w:lang w:val="en-US"/>
        </w:rPr>
        <w:t>ATLAB</w:t>
      </w:r>
      <w:r w:rsidR="0039443C">
        <w:rPr>
          <w:lang w:val="en-US"/>
        </w:rPr>
        <w:t xml:space="preserve">, adjusting for </w:t>
      </w:r>
      <w:r w:rsidR="00B9510F">
        <w:rPr>
          <w:lang w:val="en-US"/>
        </w:rPr>
        <w:t xml:space="preserve">gender, </w:t>
      </w:r>
      <w:r w:rsidR="0039443C" w:rsidRPr="00B9510F">
        <w:rPr>
          <w:lang w:val="en-US"/>
        </w:rPr>
        <w:t xml:space="preserve">age, </w:t>
      </w:r>
      <w:r w:rsidR="00B9510F">
        <w:rPr>
          <w:lang w:val="en-US"/>
        </w:rPr>
        <w:t>educational level</w:t>
      </w:r>
      <w:r w:rsidR="0039443C" w:rsidRPr="00B9510F">
        <w:rPr>
          <w:lang w:val="en-US"/>
        </w:rPr>
        <w:t xml:space="preserve"> and </w:t>
      </w:r>
      <w:proofErr w:type="spellStart"/>
      <w:r w:rsidR="0039443C" w:rsidRPr="00B9510F">
        <w:rPr>
          <w:lang w:val="en-US"/>
        </w:rPr>
        <w:t>Fazekas</w:t>
      </w:r>
      <w:proofErr w:type="spellEnd"/>
      <w:r w:rsidR="0039443C" w:rsidRPr="00B9510F">
        <w:rPr>
          <w:lang w:val="en-US"/>
        </w:rPr>
        <w:t xml:space="preserve"> score</w:t>
      </w:r>
      <w:r w:rsidR="001B2EA5" w:rsidRPr="00B9510F">
        <w:rPr>
          <w:lang w:val="en-US"/>
        </w:rPr>
        <w:t xml:space="preserve"> and</w:t>
      </w:r>
      <w:r w:rsidR="001B2EA5" w:rsidRPr="001B721A">
        <w:rPr>
          <w:lang w:val="en-US"/>
        </w:rPr>
        <w:t xml:space="preserve"> </w:t>
      </w:r>
      <w:r w:rsidR="001B2EA5" w:rsidRPr="001B721A">
        <w:rPr>
          <w:szCs w:val="24"/>
          <w:lang w:val="en-US"/>
        </w:rPr>
        <w:t xml:space="preserve">following the parameters of </w:t>
      </w:r>
      <w:r w:rsidR="001B2EA5" w:rsidRPr="001B721A">
        <w:rPr>
          <w:i/>
          <w:szCs w:val="24"/>
          <w:lang w:val="en-US"/>
        </w:rPr>
        <w:t>p</w:t>
      </w:r>
      <w:r w:rsidR="001B2EA5" w:rsidRPr="001B721A">
        <w:rPr>
          <w:szCs w:val="24"/>
          <w:lang w:val="en-US"/>
        </w:rPr>
        <w:t xml:space="preserve">&lt;0.001 uncorrected and cluster </w:t>
      </w:r>
      <w:r w:rsidR="001B2EA5">
        <w:rPr>
          <w:szCs w:val="24"/>
          <w:lang w:val="en-US"/>
        </w:rPr>
        <w:t xml:space="preserve">size with at least </w:t>
      </w:r>
      <w:r w:rsidR="001B2EA5" w:rsidRPr="00796704">
        <w:rPr>
          <w:szCs w:val="24"/>
          <w:lang w:val="en-US"/>
        </w:rPr>
        <w:t xml:space="preserve">50 </w:t>
      </w:r>
      <w:proofErr w:type="spellStart"/>
      <w:r w:rsidR="001B2EA5" w:rsidRPr="00796704">
        <w:rPr>
          <w:szCs w:val="24"/>
          <w:lang w:val="en-US"/>
        </w:rPr>
        <w:t>voxels</w:t>
      </w:r>
      <w:proofErr w:type="spellEnd"/>
      <w:r w:rsidR="0039443C">
        <w:rPr>
          <w:lang w:val="en-US"/>
        </w:rPr>
        <w:t>.</w:t>
      </w:r>
      <w:r w:rsidR="001B2EA5">
        <w:rPr>
          <w:lang w:val="en-US"/>
        </w:rPr>
        <w:t xml:space="preserve"> </w:t>
      </w:r>
    </w:p>
    <w:p w:rsidR="001B721A" w:rsidRDefault="00263FB4" w:rsidP="0039443C">
      <w:pPr>
        <w:rPr>
          <w:lang w:val="en-US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Pr="00741431">
        <w:rPr>
          <w:lang w:val="en-US"/>
        </w:rPr>
        <w:t xml:space="preserve">We </w:t>
      </w:r>
      <w:r w:rsidR="00741431" w:rsidRPr="00741431">
        <w:rPr>
          <w:lang w:val="en-US"/>
        </w:rPr>
        <w:t>f</w:t>
      </w:r>
      <w:r w:rsidR="00741431">
        <w:rPr>
          <w:lang w:val="en-US"/>
        </w:rPr>
        <w:t xml:space="preserve">ound a negative correlation between </w:t>
      </w:r>
      <w:proofErr w:type="spellStart"/>
      <w:r w:rsidR="00741431">
        <w:rPr>
          <w:lang w:val="en-US"/>
        </w:rPr>
        <w:t>MoCA</w:t>
      </w:r>
      <w:proofErr w:type="spellEnd"/>
      <w:r w:rsidR="00741431">
        <w:rPr>
          <w:lang w:val="en-US"/>
        </w:rPr>
        <w:t xml:space="preserve"> scores and DMN func</w:t>
      </w:r>
      <w:r w:rsidR="00AD2477">
        <w:rPr>
          <w:lang w:val="en-US"/>
        </w:rPr>
        <w:t>t</w:t>
      </w:r>
      <w:r w:rsidR="00741431">
        <w:rPr>
          <w:lang w:val="en-US"/>
        </w:rPr>
        <w:t xml:space="preserve">ional connectivity in left middle frontal </w:t>
      </w:r>
      <w:proofErr w:type="spellStart"/>
      <w:r w:rsidR="00741431">
        <w:rPr>
          <w:lang w:val="en-US"/>
        </w:rPr>
        <w:t>gyrus</w:t>
      </w:r>
      <w:proofErr w:type="spellEnd"/>
      <w:r w:rsidR="00741431">
        <w:rPr>
          <w:lang w:val="en-US"/>
        </w:rPr>
        <w:t xml:space="preserve"> and left inferior parietal </w:t>
      </w:r>
      <w:proofErr w:type="spellStart"/>
      <w:r w:rsidR="00741431">
        <w:rPr>
          <w:lang w:val="en-US"/>
        </w:rPr>
        <w:t>gyrus</w:t>
      </w:r>
      <w:proofErr w:type="spellEnd"/>
      <w:r w:rsidR="00741431">
        <w:rPr>
          <w:lang w:val="en-US"/>
        </w:rPr>
        <w:t xml:space="preserve"> (table 1 and figure 1), suggesting that worse cognitive performance is related to increased functional connectivity of DMN core areas.</w:t>
      </w:r>
    </w:p>
    <w:p w:rsidR="001B721A" w:rsidRPr="001B721A" w:rsidRDefault="001B721A" w:rsidP="001B721A">
      <w:pPr>
        <w:rPr>
          <w:sz w:val="20"/>
          <w:szCs w:val="20"/>
          <w:lang w:val="en-US"/>
        </w:rPr>
      </w:pPr>
      <w:r w:rsidRPr="001B721A">
        <w:rPr>
          <w:b/>
          <w:sz w:val="20"/>
          <w:szCs w:val="20"/>
          <w:lang w:val="en-US"/>
        </w:rPr>
        <w:t>Table 1</w:t>
      </w:r>
      <w:r w:rsidRPr="001B721A">
        <w:rPr>
          <w:sz w:val="20"/>
          <w:szCs w:val="20"/>
          <w:lang w:val="en-US"/>
        </w:rPr>
        <w:t xml:space="preserve"> Coordinates and cluster size of negatively correlated area between </w:t>
      </w:r>
      <w:proofErr w:type="spellStart"/>
      <w:r w:rsidRPr="001B721A">
        <w:rPr>
          <w:sz w:val="20"/>
          <w:szCs w:val="20"/>
          <w:lang w:val="en-US"/>
        </w:rPr>
        <w:t>MoCA</w:t>
      </w:r>
      <w:proofErr w:type="spellEnd"/>
      <w:r w:rsidRPr="001B721A">
        <w:rPr>
          <w:sz w:val="20"/>
          <w:szCs w:val="20"/>
          <w:lang w:val="en-US"/>
        </w:rPr>
        <w:t xml:space="preserve"> scores and DMN functional connectivity (</w:t>
      </w:r>
      <w:r w:rsidRPr="001B721A">
        <w:rPr>
          <w:i/>
          <w:sz w:val="20"/>
          <w:szCs w:val="20"/>
          <w:lang w:val="en-US"/>
        </w:rPr>
        <w:t>p</w:t>
      </w:r>
      <w:r w:rsidRPr="001B721A">
        <w:rPr>
          <w:sz w:val="20"/>
          <w:szCs w:val="20"/>
          <w:lang w:val="en-US"/>
        </w:rPr>
        <w:t>&lt;0.001, uncorrected)</w:t>
      </w:r>
    </w:p>
    <w:tbl>
      <w:tblPr>
        <w:tblW w:w="7385" w:type="dxa"/>
        <w:jc w:val="center"/>
        <w:tblLayout w:type="fixed"/>
        <w:tblLook w:val="00A0"/>
      </w:tblPr>
      <w:tblGrid>
        <w:gridCol w:w="1318"/>
        <w:gridCol w:w="2456"/>
        <w:gridCol w:w="586"/>
        <w:gridCol w:w="586"/>
        <w:gridCol w:w="519"/>
        <w:gridCol w:w="960"/>
        <w:gridCol w:w="960"/>
      </w:tblGrid>
      <w:tr w:rsidR="001B721A" w:rsidRPr="00681E33" w:rsidTr="00681E33">
        <w:trPr>
          <w:trHeight w:hRule="exact" w:val="263"/>
          <w:jc w:val="center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rPr>
                <w:rFonts w:eastAsia="Times New Roman"/>
                <w:b/>
                <w:sz w:val="16"/>
                <w:szCs w:val="16"/>
                <w:lang w:val="en-US" w:eastAsia="it-IT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rPr>
                <w:rFonts w:eastAsia="Times New Roman"/>
                <w:b/>
                <w:sz w:val="16"/>
                <w:szCs w:val="16"/>
                <w:lang w:val="en-US" w:eastAsia="it-IT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rPr>
                <w:rFonts w:eastAsia="Times New Roman"/>
                <w:b/>
                <w:sz w:val="16"/>
                <w:szCs w:val="16"/>
                <w:lang w:val="it-IT" w:eastAsia="it-IT"/>
              </w:rPr>
            </w:pPr>
            <w:r w:rsidRPr="00681E33">
              <w:rPr>
                <w:rFonts w:eastAsia="Times New Roman"/>
                <w:b/>
                <w:bCs/>
                <w:sz w:val="16"/>
                <w:szCs w:val="16"/>
                <w:lang w:val="it-IT" w:eastAsia="it-IT"/>
              </w:rPr>
              <w:t>Stereotaxic coordinates (mm)</w:t>
            </w:r>
          </w:p>
        </w:tc>
      </w:tr>
      <w:tr w:rsidR="001B721A" w:rsidRPr="00681E33" w:rsidTr="00681E33">
        <w:trPr>
          <w:trHeight w:hRule="exact" w:val="266"/>
          <w:jc w:val="center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rPr>
                <w:rFonts w:eastAsia="Times New Roman"/>
                <w:b/>
                <w:sz w:val="16"/>
                <w:szCs w:val="16"/>
                <w:lang w:val="it-IT" w:eastAsia="it-IT"/>
              </w:rPr>
            </w:pPr>
            <w:r w:rsidRPr="00681E33">
              <w:rPr>
                <w:rFonts w:eastAsia="Times New Roman"/>
                <w:b/>
                <w:sz w:val="16"/>
                <w:szCs w:val="16"/>
                <w:lang w:val="it-IT" w:eastAsia="it-IT"/>
              </w:rPr>
              <w:t>Cluster size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rPr>
                <w:rFonts w:eastAsia="Times New Roman"/>
                <w:b/>
                <w:sz w:val="16"/>
                <w:szCs w:val="16"/>
                <w:lang w:val="it-IT" w:eastAsia="it-IT"/>
              </w:rPr>
            </w:pPr>
            <w:r w:rsidRPr="00681E33">
              <w:rPr>
                <w:rFonts w:eastAsia="Times New Roman"/>
                <w:b/>
                <w:sz w:val="16"/>
                <w:szCs w:val="16"/>
                <w:lang w:val="it-IT" w:eastAsia="it-IT"/>
              </w:rPr>
              <w:t>Region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rPr>
                <w:rFonts w:eastAsia="Times New Roman"/>
                <w:b/>
                <w:sz w:val="16"/>
                <w:szCs w:val="16"/>
                <w:lang w:val="it-IT" w:eastAsia="it-IT"/>
              </w:rPr>
            </w:pPr>
            <w:r w:rsidRPr="00681E33">
              <w:rPr>
                <w:rFonts w:eastAsia="Times New Roman"/>
                <w:b/>
                <w:sz w:val="16"/>
                <w:szCs w:val="16"/>
                <w:lang w:val="it-IT" w:eastAsia="it-IT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rPr>
                <w:rFonts w:eastAsia="Times New Roman"/>
                <w:b/>
                <w:sz w:val="16"/>
                <w:szCs w:val="16"/>
                <w:lang w:val="it-IT" w:eastAsia="it-IT"/>
              </w:rPr>
            </w:pPr>
            <w:r w:rsidRPr="00681E33">
              <w:rPr>
                <w:rFonts w:eastAsia="Times New Roman"/>
                <w:b/>
                <w:sz w:val="16"/>
                <w:szCs w:val="16"/>
                <w:lang w:val="it-IT" w:eastAsia="it-IT"/>
              </w:rPr>
              <w:t>Y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outlineLvl w:val="5"/>
              <w:rPr>
                <w:rFonts w:eastAsia="Times New Roman"/>
                <w:b/>
                <w:bCs/>
                <w:sz w:val="16"/>
                <w:szCs w:val="16"/>
                <w:lang w:val="it-IT" w:eastAsia="it-IT"/>
              </w:rPr>
            </w:pPr>
            <w:r w:rsidRPr="00681E33">
              <w:rPr>
                <w:rFonts w:eastAsia="Times New Roman"/>
                <w:b/>
                <w:bCs/>
                <w:sz w:val="16"/>
                <w:szCs w:val="16"/>
                <w:lang w:val="it-IT" w:eastAsia="it-IT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outlineLvl w:val="5"/>
              <w:rPr>
                <w:rFonts w:eastAsia="Times New Roman"/>
                <w:b/>
                <w:sz w:val="16"/>
                <w:szCs w:val="16"/>
                <w:lang w:val="it-IT" w:eastAsia="it-IT"/>
              </w:rPr>
            </w:pPr>
            <w:r w:rsidRPr="00681E33">
              <w:rPr>
                <w:rFonts w:eastAsia="Times New Roman"/>
                <w:b/>
                <w:sz w:val="16"/>
                <w:szCs w:val="16"/>
                <w:lang w:val="it-IT" w:eastAsia="it-IT"/>
              </w:rPr>
              <w:t>T value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outlineLvl w:val="5"/>
              <w:rPr>
                <w:rFonts w:eastAsia="Times New Roman"/>
                <w:b/>
                <w:sz w:val="16"/>
                <w:szCs w:val="16"/>
                <w:lang w:val="it-IT" w:eastAsia="it-IT"/>
              </w:rPr>
            </w:pPr>
            <w:r w:rsidRPr="00681E33">
              <w:rPr>
                <w:rFonts w:eastAsia="Times New Roman"/>
                <w:b/>
                <w:sz w:val="16"/>
                <w:szCs w:val="16"/>
                <w:lang w:val="it-IT" w:eastAsia="it-IT"/>
              </w:rPr>
              <w:t>Z value</w:t>
            </w:r>
          </w:p>
        </w:tc>
      </w:tr>
      <w:tr w:rsidR="001B721A" w:rsidRPr="00681E33" w:rsidTr="00681E33">
        <w:trPr>
          <w:trHeight w:hRule="exact" w:val="265"/>
          <w:jc w:val="center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681E33">
              <w:rPr>
                <w:rFonts w:eastAsia="Times New Roman"/>
                <w:sz w:val="16"/>
                <w:szCs w:val="16"/>
                <w:lang w:val="en-US" w:eastAsia="it-IT"/>
              </w:rPr>
              <w:t>67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rPr>
                <w:rFonts w:eastAsia="Times New Roman"/>
                <w:sz w:val="16"/>
                <w:szCs w:val="16"/>
                <w:lang w:val="it-IT" w:eastAsia="it-IT"/>
              </w:rPr>
            </w:pPr>
            <w:r w:rsidRPr="00681E33">
              <w:rPr>
                <w:rFonts w:eastAsia="Times New Roman"/>
                <w:sz w:val="16"/>
                <w:szCs w:val="16"/>
                <w:lang w:val="it-IT" w:eastAsia="it-IT"/>
              </w:rPr>
              <w:t>Left middle frontal gyrus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rPr>
                <w:rFonts w:eastAsia="Times New Roman"/>
                <w:sz w:val="16"/>
                <w:szCs w:val="16"/>
                <w:lang w:val="it-IT" w:eastAsia="it-IT"/>
              </w:rPr>
            </w:pPr>
            <w:r w:rsidRPr="00681E33">
              <w:rPr>
                <w:rFonts w:eastAsia="Times New Roman"/>
                <w:sz w:val="16"/>
                <w:szCs w:val="16"/>
                <w:lang w:val="it-IT" w:eastAsia="it-IT"/>
              </w:rPr>
              <w:t>-40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rPr>
                <w:rFonts w:eastAsia="Times New Roman"/>
                <w:sz w:val="16"/>
                <w:szCs w:val="16"/>
                <w:lang w:val="it-IT" w:eastAsia="it-IT"/>
              </w:rPr>
            </w:pPr>
            <w:r w:rsidRPr="00681E33">
              <w:rPr>
                <w:rFonts w:eastAsia="Times New Roman"/>
                <w:sz w:val="16"/>
                <w:szCs w:val="16"/>
                <w:lang w:val="it-IT" w:eastAsia="it-IT"/>
              </w:rPr>
              <w:t>48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rPr>
                <w:rFonts w:eastAsia="Times New Roman"/>
                <w:sz w:val="16"/>
                <w:szCs w:val="16"/>
                <w:lang w:val="it-IT" w:eastAsia="it-IT"/>
              </w:rPr>
            </w:pPr>
            <w:r w:rsidRPr="00681E33">
              <w:rPr>
                <w:rFonts w:eastAsia="Times New Roman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rPr>
                <w:rFonts w:eastAsia="Times New Roman"/>
                <w:sz w:val="16"/>
                <w:szCs w:val="16"/>
                <w:lang w:val="it-IT" w:eastAsia="it-IT"/>
              </w:rPr>
            </w:pPr>
            <w:r w:rsidRPr="00681E33">
              <w:rPr>
                <w:rFonts w:eastAsia="Times New Roman"/>
                <w:sz w:val="16"/>
                <w:szCs w:val="16"/>
                <w:lang w:val="it-IT" w:eastAsia="it-IT"/>
              </w:rPr>
              <w:t>4.35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AD2477" w:rsidP="001B721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it-IT" w:eastAsia="it-IT"/>
              </w:rPr>
            </w:pPr>
            <w:r w:rsidRPr="00681E33">
              <w:rPr>
                <w:rFonts w:eastAsia="Times New Roman"/>
                <w:sz w:val="16"/>
                <w:szCs w:val="16"/>
                <w:lang w:val="it-IT" w:eastAsia="it-IT"/>
              </w:rPr>
              <w:t>3.80</w:t>
            </w:r>
          </w:p>
        </w:tc>
      </w:tr>
      <w:tr w:rsidR="001B721A" w:rsidRPr="00681E33" w:rsidTr="00681E33">
        <w:trPr>
          <w:trHeight w:hRule="exact" w:val="290"/>
          <w:jc w:val="center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681E33">
              <w:rPr>
                <w:rFonts w:eastAsia="Times New Roman"/>
                <w:sz w:val="16"/>
                <w:szCs w:val="16"/>
                <w:lang w:val="en-US" w:eastAsia="it-IT"/>
              </w:rPr>
              <w:t>66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rPr>
                <w:rFonts w:eastAsia="Times New Roman"/>
                <w:sz w:val="16"/>
                <w:szCs w:val="16"/>
                <w:lang w:val="it-IT" w:eastAsia="it-IT"/>
              </w:rPr>
            </w:pPr>
            <w:r w:rsidRPr="00681E33">
              <w:rPr>
                <w:rFonts w:eastAsia="Times New Roman"/>
                <w:sz w:val="16"/>
                <w:szCs w:val="16"/>
                <w:lang w:val="it-IT" w:eastAsia="it-IT"/>
              </w:rPr>
              <w:t>Left inferior parietal gyrus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rPr>
                <w:rFonts w:eastAsia="Times New Roman"/>
                <w:sz w:val="16"/>
                <w:szCs w:val="16"/>
                <w:lang w:val="it-IT" w:eastAsia="it-IT"/>
              </w:rPr>
            </w:pPr>
            <w:r w:rsidRPr="00681E33">
              <w:rPr>
                <w:rFonts w:eastAsia="Times New Roman"/>
                <w:sz w:val="16"/>
                <w:szCs w:val="16"/>
                <w:lang w:val="it-IT" w:eastAsia="it-IT"/>
              </w:rPr>
              <w:t>-48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rPr>
                <w:rFonts w:eastAsia="Times New Roman"/>
                <w:sz w:val="16"/>
                <w:szCs w:val="16"/>
                <w:lang w:val="it-IT" w:eastAsia="it-IT"/>
              </w:rPr>
            </w:pPr>
            <w:r w:rsidRPr="00681E33">
              <w:rPr>
                <w:rFonts w:eastAsia="Times New Roman"/>
                <w:sz w:val="16"/>
                <w:szCs w:val="16"/>
                <w:lang w:val="it-IT" w:eastAsia="it-IT"/>
              </w:rPr>
              <w:t>-52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rPr>
                <w:rFonts w:eastAsia="Times New Roman"/>
                <w:sz w:val="16"/>
                <w:szCs w:val="16"/>
                <w:lang w:val="it-IT" w:eastAsia="it-IT"/>
              </w:rPr>
            </w:pPr>
            <w:r w:rsidRPr="00681E33">
              <w:rPr>
                <w:rFonts w:eastAsia="Times New Roman"/>
                <w:sz w:val="16"/>
                <w:szCs w:val="16"/>
                <w:lang w:val="it-IT" w:eastAsia="it-IT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1B721A" w:rsidP="001B721A">
            <w:pPr>
              <w:jc w:val="center"/>
              <w:rPr>
                <w:rFonts w:eastAsia="Times New Roman"/>
                <w:sz w:val="16"/>
                <w:szCs w:val="16"/>
                <w:lang w:val="it-IT" w:eastAsia="it-IT"/>
              </w:rPr>
            </w:pPr>
            <w:r w:rsidRPr="00681E33">
              <w:rPr>
                <w:rFonts w:eastAsia="Times New Roman"/>
                <w:sz w:val="16"/>
                <w:szCs w:val="16"/>
                <w:lang w:val="it-IT" w:eastAsia="it-IT"/>
              </w:rPr>
              <w:t>4.20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B721A" w:rsidRPr="00681E33" w:rsidRDefault="00AD2477" w:rsidP="001B721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it-IT" w:eastAsia="it-IT"/>
              </w:rPr>
            </w:pPr>
            <w:r w:rsidRPr="00681E33">
              <w:rPr>
                <w:rFonts w:eastAsia="Times New Roman"/>
                <w:sz w:val="16"/>
                <w:szCs w:val="16"/>
                <w:lang w:val="it-IT" w:eastAsia="it-IT"/>
              </w:rPr>
              <w:t>3.69</w:t>
            </w:r>
          </w:p>
        </w:tc>
      </w:tr>
    </w:tbl>
    <w:p w:rsidR="001B721A" w:rsidRPr="001B721A" w:rsidRDefault="001B721A" w:rsidP="001B721A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Figure</w:t>
      </w:r>
      <w:r w:rsidRPr="001B721A">
        <w:rPr>
          <w:b/>
          <w:sz w:val="20"/>
          <w:szCs w:val="20"/>
          <w:lang w:val="en-US"/>
        </w:rPr>
        <w:t xml:space="preserve"> 1</w:t>
      </w:r>
      <w:r w:rsidRPr="001B721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</w:t>
      </w:r>
      <w:r w:rsidRPr="001B721A">
        <w:rPr>
          <w:sz w:val="20"/>
          <w:szCs w:val="20"/>
          <w:lang w:val="en-US"/>
        </w:rPr>
        <w:t xml:space="preserve">orrelation results between </w:t>
      </w:r>
      <w:proofErr w:type="spellStart"/>
      <w:r>
        <w:rPr>
          <w:sz w:val="20"/>
          <w:szCs w:val="20"/>
          <w:lang w:val="en-US"/>
        </w:rPr>
        <w:t>MoCA</w:t>
      </w:r>
      <w:proofErr w:type="spellEnd"/>
      <w:r>
        <w:rPr>
          <w:sz w:val="20"/>
          <w:szCs w:val="20"/>
          <w:lang w:val="en-US"/>
        </w:rPr>
        <w:t xml:space="preserve"> scores</w:t>
      </w:r>
      <w:r w:rsidRPr="001B721A">
        <w:rPr>
          <w:sz w:val="20"/>
          <w:szCs w:val="20"/>
          <w:lang w:val="en-US"/>
        </w:rPr>
        <w:t xml:space="preserve"> and DMN functional connectivity (</w:t>
      </w:r>
      <w:r w:rsidRPr="001B721A">
        <w:rPr>
          <w:i/>
          <w:sz w:val="20"/>
          <w:szCs w:val="20"/>
          <w:lang w:val="en-US"/>
        </w:rPr>
        <w:t>p</w:t>
      </w:r>
      <w:r w:rsidRPr="001B721A">
        <w:rPr>
          <w:sz w:val="20"/>
          <w:szCs w:val="20"/>
          <w:lang w:val="en-US"/>
        </w:rPr>
        <w:t>&lt;0.001, uncorrected)</w:t>
      </w:r>
    </w:p>
    <w:p w:rsidR="00263FB4" w:rsidRDefault="00681E33" w:rsidP="00681E33">
      <w:pPr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2151656" cy="1325171"/>
            <wp:effectExtent l="19050" t="0" r="994" b="0"/>
            <wp:docPr id="2" name="Imagem 1" descr="G:\resumo MoCA\imagem_m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esumo MoCA\imagem_moc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90" cy="132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6A" w:rsidRPr="00681E33" w:rsidRDefault="00263FB4" w:rsidP="00681E33">
      <w:pPr>
        <w:autoSpaceDE w:val="0"/>
        <w:autoSpaceDN w:val="0"/>
        <w:adjustRightInd w:val="0"/>
        <w:rPr>
          <w:szCs w:val="24"/>
          <w:lang w:val="en-US"/>
        </w:rPr>
      </w:pPr>
      <w:r w:rsidRPr="00263FB4">
        <w:rPr>
          <w:b/>
          <w:lang w:val="en-US"/>
        </w:rPr>
        <w:t>Discussion:</w:t>
      </w:r>
      <w:r>
        <w:rPr>
          <w:lang w:val="en-US"/>
        </w:rPr>
        <w:t xml:space="preserve"> </w:t>
      </w:r>
      <w:r w:rsidR="0007732B">
        <w:rPr>
          <w:lang w:val="en-US"/>
        </w:rPr>
        <w:t>Previous studies</w:t>
      </w:r>
      <w:r w:rsidR="0007732B" w:rsidRPr="0007732B">
        <w:rPr>
          <w:szCs w:val="24"/>
          <w:lang w:val="en-US"/>
        </w:rPr>
        <w:t xml:space="preserve"> indicate that </w:t>
      </w:r>
      <w:r w:rsidR="0007732B">
        <w:rPr>
          <w:szCs w:val="24"/>
          <w:lang w:val="en-US"/>
        </w:rPr>
        <w:t>DMN</w:t>
      </w:r>
      <w:r w:rsidR="0007732B" w:rsidRPr="0007732B">
        <w:rPr>
          <w:szCs w:val="24"/>
          <w:lang w:val="en-US"/>
        </w:rPr>
        <w:t xml:space="preserve"> plays an important role</w:t>
      </w:r>
      <w:r w:rsidR="0007732B">
        <w:rPr>
          <w:szCs w:val="24"/>
          <w:lang w:val="en-US"/>
        </w:rPr>
        <w:t xml:space="preserve"> </w:t>
      </w:r>
      <w:r w:rsidR="0007732B" w:rsidRPr="0007732B">
        <w:rPr>
          <w:szCs w:val="24"/>
          <w:lang w:val="en-US"/>
        </w:rPr>
        <w:t xml:space="preserve">in </w:t>
      </w:r>
      <w:r w:rsidR="0007732B" w:rsidRPr="001B721A">
        <w:rPr>
          <w:szCs w:val="24"/>
          <w:lang w:val="en-US"/>
        </w:rPr>
        <w:t>cognitive impairment</w:t>
      </w:r>
      <w:r w:rsidR="009E3C22" w:rsidRPr="001B721A">
        <w:rPr>
          <w:szCs w:val="24"/>
          <w:vertAlign w:val="superscript"/>
          <w:lang w:val="en-US"/>
        </w:rPr>
        <w:t>3</w:t>
      </w:r>
      <w:r w:rsidR="0007732B" w:rsidRPr="001B721A">
        <w:rPr>
          <w:szCs w:val="24"/>
          <w:lang w:val="en-US"/>
        </w:rPr>
        <w:t xml:space="preserve">. </w:t>
      </w:r>
      <w:r w:rsidR="001A576A" w:rsidRPr="00E734C4">
        <w:rPr>
          <w:szCs w:val="24"/>
          <w:lang w:val="en-US"/>
        </w:rPr>
        <w:t>Deactivation of key nodes of the DMN may be a prerequisite for focused attention and su</w:t>
      </w:r>
      <w:r w:rsidR="001A576A" w:rsidRPr="00E734C4">
        <w:rPr>
          <w:lang w:val="en-US"/>
        </w:rPr>
        <w:t>ccessful memory encoding</w:t>
      </w:r>
      <w:r w:rsidR="009E3C22" w:rsidRPr="00E734C4">
        <w:rPr>
          <w:vertAlign w:val="superscript"/>
          <w:lang w:val="en-US"/>
        </w:rPr>
        <w:t>4</w:t>
      </w:r>
      <w:r w:rsidR="00E734C4" w:rsidRPr="00E734C4">
        <w:rPr>
          <w:lang w:val="en-US"/>
        </w:rPr>
        <w:t xml:space="preserve">. </w:t>
      </w:r>
      <w:r w:rsidR="00220B9C">
        <w:rPr>
          <w:lang w:val="en-US"/>
        </w:rPr>
        <w:t xml:space="preserve">However, </w:t>
      </w:r>
      <w:r w:rsidR="00E734C4" w:rsidRPr="00E734C4">
        <w:rPr>
          <w:lang w:val="en-US"/>
        </w:rPr>
        <w:t xml:space="preserve">the increased DMN functional connectivity </w:t>
      </w:r>
      <w:r w:rsidR="00220B9C">
        <w:rPr>
          <w:lang w:val="en-US"/>
        </w:rPr>
        <w:t>suggests</w:t>
      </w:r>
      <w:r w:rsidR="001A576A" w:rsidRPr="00E734C4">
        <w:rPr>
          <w:lang w:val="en-US"/>
        </w:rPr>
        <w:t xml:space="preserve"> failure to suppress activity in some of the core </w:t>
      </w:r>
      <w:r w:rsidR="00E734C4" w:rsidRPr="00E734C4">
        <w:rPr>
          <w:lang w:val="en-US"/>
        </w:rPr>
        <w:t>DMN</w:t>
      </w:r>
      <w:r w:rsidR="001A576A" w:rsidRPr="00E734C4">
        <w:rPr>
          <w:lang w:val="en-US"/>
        </w:rPr>
        <w:t xml:space="preserve"> </w:t>
      </w:r>
      <w:r w:rsidR="00220B9C">
        <w:rPr>
          <w:lang w:val="en-US"/>
        </w:rPr>
        <w:t xml:space="preserve">in cognition, which in turn </w:t>
      </w:r>
      <w:r w:rsidR="001A576A" w:rsidRPr="00E734C4">
        <w:rPr>
          <w:lang w:val="en-US"/>
        </w:rPr>
        <w:t xml:space="preserve">is associated with </w:t>
      </w:r>
      <w:r w:rsidR="00E734C4" w:rsidRPr="00E734C4">
        <w:rPr>
          <w:lang w:val="en-US"/>
        </w:rPr>
        <w:t>worse</w:t>
      </w:r>
      <w:r w:rsidR="001A576A" w:rsidRPr="00E734C4">
        <w:rPr>
          <w:lang w:val="en-US"/>
        </w:rPr>
        <w:t xml:space="preserve"> performance in </w:t>
      </w:r>
      <w:proofErr w:type="spellStart"/>
      <w:r w:rsidR="00E734C4" w:rsidRPr="00E734C4">
        <w:rPr>
          <w:lang w:val="en-US"/>
        </w:rPr>
        <w:t>MoCA</w:t>
      </w:r>
      <w:proofErr w:type="spellEnd"/>
      <w:r w:rsidR="00E734C4" w:rsidRPr="00E734C4">
        <w:rPr>
          <w:lang w:val="en-US"/>
        </w:rPr>
        <w:t xml:space="preserve"> scores</w:t>
      </w:r>
      <w:r w:rsidR="009E3C22" w:rsidRPr="00E734C4">
        <w:rPr>
          <w:vertAlign w:val="superscript"/>
          <w:lang w:val="en-US"/>
        </w:rPr>
        <w:t>5</w:t>
      </w:r>
      <w:r w:rsidR="001A576A" w:rsidRPr="00E734C4">
        <w:rPr>
          <w:lang w:val="en-US"/>
        </w:rPr>
        <w:t>.</w:t>
      </w:r>
    </w:p>
    <w:p w:rsidR="00263FB4" w:rsidRPr="00681E33" w:rsidRDefault="00263FB4" w:rsidP="00263FB4">
      <w:pPr>
        <w:rPr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="00220B9C">
        <w:rPr>
          <w:lang w:val="en-US"/>
        </w:rPr>
        <w:t>A</w:t>
      </w:r>
      <w:r w:rsidR="008452E3" w:rsidRPr="008452E3">
        <w:rPr>
          <w:lang w:val="en-US"/>
        </w:rPr>
        <w:t>bnormal</w:t>
      </w:r>
      <w:r w:rsidR="008452E3">
        <w:rPr>
          <w:lang w:val="en-US"/>
        </w:rPr>
        <w:t xml:space="preserve"> </w:t>
      </w:r>
      <w:r w:rsidR="008452E3" w:rsidRPr="008452E3">
        <w:rPr>
          <w:lang w:val="en-US"/>
        </w:rPr>
        <w:t>DMN was associated with</w:t>
      </w:r>
      <w:r w:rsidR="008452E3">
        <w:rPr>
          <w:lang w:val="en-US"/>
        </w:rPr>
        <w:t xml:space="preserve"> worse </w:t>
      </w:r>
      <w:r w:rsidR="008452E3" w:rsidRPr="008452E3">
        <w:rPr>
          <w:lang w:val="en-US"/>
        </w:rPr>
        <w:t xml:space="preserve">cognitive </w:t>
      </w:r>
      <w:r w:rsidR="008452E3">
        <w:rPr>
          <w:lang w:val="en-US"/>
        </w:rPr>
        <w:t>performance</w:t>
      </w:r>
      <w:r w:rsidR="008452E3" w:rsidRPr="008452E3">
        <w:rPr>
          <w:lang w:val="en-US"/>
        </w:rPr>
        <w:t xml:space="preserve"> following stroke</w:t>
      </w:r>
      <w:r w:rsidR="00681E33">
        <w:rPr>
          <w:lang w:val="en-US"/>
        </w:rPr>
        <w:t xml:space="preserve"> in </w:t>
      </w:r>
      <w:proofErr w:type="spellStart"/>
      <w:r w:rsidR="00681E33">
        <w:rPr>
          <w:lang w:val="en-US"/>
        </w:rPr>
        <w:t>sub</w:t>
      </w:r>
      <w:r w:rsidR="00220B9C">
        <w:rPr>
          <w:lang w:val="en-US"/>
        </w:rPr>
        <w:t>acute</w:t>
      </w:r>
      <w:proofErr w:type="spellEnd"/>
      <w:r w:rsidR="00220B9C">
        <w:rPr>
          <w:lang w:val="en-US"/>
        </w:rPr>
        <w:t xml:space="preserve"> stage</w:t>
      </w:r>
      <w:r w:rsidR="008452E3" w:rsidRPr="008452E3">
        <w:rPr>
          <w:lang w:val="en-US"/>
        </w:rPr>
        <w:t>.</w:t>
      </w:r>
      <w:r w:rsidR="001A576A" w:rsidRPr="001A576A">
        <w:rPr>
          <w:lang w:val="en-US"/>
        </w:rPr>
        <w:t xml:space="preserve"> </w:t>
      </w:r>
      <w:r w:rsidR="0039443C" w:rsidRPr="008452E3">
        <w:rPr>
          <w:lang w:val="en-US"/>
        </w:rPr>
        <w:t xml:space="preserve">Our findings may be helpful for facilitating further understanding of the potential mechanism underlying post stroke </w:t>
      </w:r>
      <w:r w:rsidR="00E06074">
        <w:rPr>
          <w:lang w:val="en-US"/>
        </w:rPr>
        <w:t>cognitive performance</w:t>
      </w:r>
      <w:r w:rsidR="0039443C" w:rsidRPr="008452E3">
        <w:rPr>
          <w:lang w:val="en-US"/>
        </w:rPr>
        <w:t>.</w:t>
      </w:r>
    </w:p>
    <w:p w:rsidR="001A576A" w:rsidRPr="00102007" w:rsidRDefault="00263FB4" w:rsidP="001A576A">
      <w:pPr>
        <w:rPr>
          <w:lang w:val="en-US"/>
        </w:rPr>
      </w:pPr>
      <w:r w:rsidRPr="00102007">
        <w:rPr>
          <w:b/>
          <w:lang w:val="en-US"/>
        </w:rPr>
        <w:t xml:space="preserve">References: </w:t>
      </w:r>
      <w:r w:rsidR="001A576A">
        <w:rPr>
          <w:lang w:val="en-US"/>
        </w:rPr>
        <w:t xml:space="preserve">[1] </w:t>
      </w:r>
      <w:proofErr w:type="spellStart"/>
      <w:r w:rsidR="001A576A">
        <w:rPr>
          <w:lang w:val="en-US"/>
        </w:rPr>
        <w:t>Pohjasvaara</w:t>
      </w:r>
      <w:proofErr w:type="spellEnd"/>
      <w:r w:rsidR="001A576A">
        <w:rPr>
          <w:lang w:val="en-US"/>
        </w:rPr>
        <w:t xml:space="preserve"> T et al., </w:t>
      </w:r>
      <w:proofErr w:type="spellStart"/>
      <w:r w:rsidR="001A576A">
        <w:rPr>
          <w:lang w:val="en-US"/>
        </w:rPr>
        <w:t>Cerebrovasc</w:t>
      </w:r>
      <w:proofErr w:type="spellEnd"/>
      <w:r w:rsidR="001A576A">
        <w:rPr>
          <w:lang w:val="en-US"/>
        </w:rPr>
        <w:t xml:space="preserve"> </w:t>
      </w:r>
      <w:proofErr w:type="spellStart"/>
      <w:r w:rsidR="001A576A">
        <w:rPr>
          <w:lang w:val="en-US"/>
        </w:rPr>
        <w:t>Dis</w:t>
      </w:r>
      <w:proofErr w:type="spellEnd"/>
      <w:r w:rsidR="001A576A">
        <w:rPr>
          <w:lang w:val="en-US"/>
        </w:rPr>
        <w:t xml:space="preserve"> 14 (</w:t>
      </w:r>
      <w:r w:rsidR="00681E33">
        <w:rPr>
          <w:lang w:val="en-US"/>
        </w:rPr>
        <w:t>2</w:t>
      </w:r>
      <w:r w:rsidR="001A576A">
        <w:rPr>
          <w:lang w:val="en-US"/>
        </w:rPr>
        <w:t xml:space="preserve">): 228-233, 2002; </w:t>
      </w:r>
      <w:proofErr w:type="spellStart"/>
      <w:r w:rsidR="001A576A">
        <w:rPr>
          <w:lang w:val="en-US"/>
        </w:rPr>
        <w:t>Raichle</w:t>
      </w:r>
      <w:proofErr w:type="spellEnd"/>
      <w:r w:rsidR="001A576A">
        <w:rPr>
          <w:lang w:val="en-US"/>
        </w:rPr>
        <w:t xml:space="preserve"> ME et al., PNAS 98 (</w:t>
      </w:r>
      <w:r w:rsidR="00681E33">
        <w:rPr>
          <w:lang w:val="en-US"/>
        </w:rPr>
        <w:t>2</w:t>
      </w:r>
      <w:r w:rsidR="001A576A">
        <w:rPr>
          <w:lang w:val="en-US"/>
        </w:rPr>
        <w:t>): 676-682, 2001;</w:t>
      </w:r>
      <w:r w:rsidR="009E3C22">
        <w:rPr>
          <w:lang w:val="en-US"/>
        </w:rPr>
        <w:t xml:space="preserve"> [3] </w:t>
      </w:r>
      <w:proofErr w:type="spellStart"/>
      <w:r w:rsidR="009E3C22">
        <w:rPr>
          <w:lang w:val="en-US"/>
        </w:rPr>
        <w:t>Greicius</w:t>
      </w:r>
      <w:proofErr w:type="spellEnd"/>
      <w:r w:rsidR="009E3C22">
        <w:rPr>
          <w:lang w:val="en-US"/>
        </w:rPr>
        <w:t xml:space="preserve"> et al., PNAS 101 (</w:t>
      </w:r>
      <w:r w:rsidR="00681E33">
        <w:rPr>
          <w:lang w:val="en-US"/>
        </w:rPr>
        <w:t>13</w:t>
      </w:r>
      <w:r w:rsidR="009E3C22">
        <w:rPr>
          <w:lang w:val="en-US"/>
        </w:rPr>
        <w:t>): 4637-4642, 2004</w:t>
      </w:r>
      <w:r w:rsidR="001A576A">
        <w:rPr>
          <w:lang w:val="en-US"/>
        </w:rPr>
        <w:t xml:space="preserve"> </w:t>
      </w:r>
      <w:r w:rsidR="009E3C22">
        <w:rPr>
          <w:lang w:val="en-US"/>
        </w:rPr>
        <w:t>[4</w:t>
      </w:r>
      <w:r w:rsidRPr="00102007">
        <w:rPr>
          <w:lang w:val="en-US"/>
        </w:rPr>
        <w:t xml:space="preserve">] </w:t>
      </w:r>
      <w:r w:rsidR="001A576A">
        <w:rPr>
          <w:lang w:val="en-US"/>
        </w:rPr>
        <w:t>Miller</w:t>
      </w:r>
      <w:r w:rsidRPr="00102007">
        <w:rPr>
          <w:lang w:val="en-US"/>
        </w:rPr>
        <w:t xml:space="preserve"> </w:t>
      </w:r>
      <w:r w:rsidR="001A576A">
        <w:rPr>
          <w:lang w:val="en-US"/>
        </w:rPr>
        <w:t>SL</w:t>
      </w:r>
      <w:r w:rsidRPr="00102007">
        <w:rPr>
          <w:lang w:val="en-US"/>
        </w:rPr>
        <w:t xml:space="preserve"> et al., </w:t>
      </w:r>
      <w:r w:rsidR="001A576A">
        <w:rPr>
          <w:lang w:val="en-US"/>
        </w:rPr>
        <w:t>PNAS</w:t>
      </w:r>
      <w:r w:rsidRPr="00102007">
        <w:rPr>
          <w:lang w:val="en-US"/>
        </w:rPr>
        <w:t xml:space="preserve"> </w:t>
      </w:r>
      <w:r w:rsidR="001A576A">
        <w:rPr>
          <w:lang w:val="en-US"/>
        </w:rPr>
        <w:t>105 (</w:t>
      </w:r>
      <w:r w:rsidRPr="00102007">
        <w:rPr>
          <w:lang w:val="en-US"/>
        </w:rPr>
        <w:t xml:space="preserve">): </w:t>
      </w:r>
      <w:r w:rsidR="001A576A">
        <w:rPr>
          <w:lang w:val="en-US"/>
        </w:rPr>
        <w:t>2181</w:t>
      </w:r>
      <w:r w:rsidRPr="00102007">
        <w:rPr>
          <w:lang w:val="en-US"/>
        </w:rPr>
        <w:t>-</w:t>
      </w:r>
      <w:r w:rsidR="001A576A">
        <w:rPr>
          <w:lang w:val="en-US"/>
        </w:rPr>
        <w:t>2186, 2008</w:t>
      </w:r>
      <w:r w:rsidR="009E3C22">
        <w:rPr>
          <w:lang w:val="en-US"/>
        </w:rPr>
        <w:t>; [5</w:t>
      </w:r>
      <w:r w:rsidR="00C85417" w:rsidRPr="00102007">
        <w:rPr>
          <w:lang w:val="en-US"/>
        </w:rPr>
        <w:t xml:space="preserve">] </w:t>
      </w:r>
      <w:r w:rsidR="001A576A">
        <w:rPr>
          <w:lang w:val="en-US"/>
        </w:rPr>
        <w:t>Grady CL</w:t>
      </w:r>
      <w:r w:rsidR="00C85417" w:rsidRPr="00102007">
        <w:rPr>
          <w:lang w:val="en-US"/>
        </w:rPr>
        <w:t xml:space="preserve"> et al., </w:t>
      </w:r>
      <w:proofErr w:type="spellStart"/>
      <w:r w:rsidR="001A576A">
        <w:rPr>
          <w:lang w:val="en-US"/>
        </w:rPr>
        <w:t>Cogn</w:t>
      </w:r>
      <w:proofErr w:type="spellEnd"/>
      <w:r w:rsidR="001A576A">
        <w:rPr>
          <w:lang w:val="en-US"/>
        </w:rPr>
        <w:t xml:space="preserve"> </w:t>
      </w:r>
      <w:proofErr w:type="spellStart"/>
      <w:r w:rsidR="001A576A">
        <w:rPr>
          <w:lang w:val="en-US"/>
        </w:rPr>
        <w:t>Neurosci</w:t>
      </w:r>
      <w:proofErr w:type="spellEnd"/>
      <w:r w:rsidR="00102007" w:rsidRPr="00102007">
        <w:rPr>
          <w:lang w:val="en-US"/>
        </w:rPr>
        <w:t xml:space="preserve"> </w:t>
      </w:r>
      <w:r w:rsidR="001A576A">
        <w:rPr>
          <w:lang w:val="en-US"/>
        </w:rPr>
        <w:t>18</w:t>
      </w:r>
      <w:r w:rsidR="00102007" w:rsidRPr="00102007">
        <w:rPr>
          <w:lang w:val="en-US"/>
        </w:rPr>
        <w:t>(</w:t>
      </w:r>
      <w:r w:rsidR="00681E33">
        <w:rPr>
          <w:lang w:val="en-US"/>
        </w:rPr>
        <w:t>2</w:t>
      </w:r>
      <w:r w:rsidR="00102007" w:rsidRPr="00102007">
        <w:rPr>
          <w:lang w:val="en-US"/>
        </w:rPr>
        <w:t xml:space="preserve">): </w:t>
      </w:r>
      <w:r w:rsidR="001A576A">
        <w:rPr>
          <w:lang w:val="en-US"/>
        </w:rPr>
        <w:t>227-241</w:t>
      </w:r>
      <w:r w:rsidR="00102007" w:rsidRPr="00102007">
        <w:rPr>
          <w:lang w:val="en-US"/>
        </w:rPr>
        <w:t xml:space="preserve">, </w:t>
      </w:r>
      <w:r w:rsidR="001A576A">
        <w:rPr>
          <w:lang w:val="en-US"/>
        </w:rPr>
        <w:t>2006</w:t>
      </w:r>
      <w:r w:rsidR="00102007" w:rsidRPr="00102007">
        <w:rPr>
          <w:lang w:val="en-US"/>
        </w:rPr>
        <w:t>.</w:t>
      </w:r>
    </w:p>
    <w:sectPr w:rsidR="001A576A" w:rsidRPr="00102007" w:rsidSect="00743343">
      <w:headerReference w:type="default" r:id="rId7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60" w:rsidRDefault="00CD1960" w:rsidP="00743343">
      <w:r>
        <w:separator/>
      </w:r>
    </w:p>
  </w:endnote>
  <w:endnote w:type="continuationSeparator" w:id="0">
    <w:p w:rsidR="00CD1960" w:rsidRDefault="00CD1960" w:rsidP="0074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60" w:rsidRDefault="00CD1960" w:rsidP="00743343">
      <w:r>
        <w:separator/>
      </w:r>
    </w:p>
  </w:footnote>
  <w:footnote w:type="continuationSeparator" w:id="0">
    <w:p w:rsidR="00CD1960" w:rsidRDefault="00CD1960" w:rsidP="00743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43" w:rsidRPr="000557A7" w:rsidRDefault="000E2933" w:rsidP="000557A7">
    <w:pPr>
      <w:pStyle w:val="Cabealho"/>
      <w:jc w:val="right"/>
      <w:rPr>
        <w:rFonts w:asciiTheme="minorHAnsi" w:hAnsiTheme="minorHAnsi"/>
        <w:lang w:val="en-US"/>
      </w:rPr>
    </w:pPr>
    <w:r w:rsidRPr="000E293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7409" type="#_x0000_t202" style="position:absolute;left:0;text-align:left;margin-left:422.25pt;margin-top:-29.7pt;width:113.15pt;height:45.7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" stroked="f">
          <v:textbox>
            <w:txbxContent>
              <w:p w:rsid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3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rd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BRAINN Congress</w:t>
                </w:r>
              </w:p>
              <w:p w:rsid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April 11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– 13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, 2016</w:t>
                </w: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</w:t>
                </w:r>
              </w:p>
              <w:p w:rsidR="000557A7" w:rsidRP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Campinas, SP</w:t>
                </w:r>
                <w:r w:rsidR="00FB6EFE">
                  <w:rPr>
                    <w:rFonts w:asciiTheme="minorHAnsi" w:hAnsiTheme="minorHAnsi"/>
                    <w:b/>
                    <w:sz w:val="20"/>
                    <w:lang w:val="en-US"/>
                  </w:rPr>
                  <w:t>, Brazil</w:t>
                </w:r>
              </w:p>
            </w:txbxContent>
          </v:textbox>
        </v:shape>
      </w:pic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2F1EA5"/>
    <w:rsid w:val="0001041E"/>
    <w:rsid w:val="0003597F"/>
    <w:rsid w:val="00042C87"/>
    <w:rsid w:val="000557A7"/>
    <w:rsid w:val="0007732B"/>
    <w:rsid w:val="000D4088"/>
    <w:rsid w:val="000E2933"/>
    <w:rsid w:val="00102007"/>
    <w:rsid w:val="001A576A"/>
    <w:rsid w:val="001B2EA5"/>
    <w:rsid w:val="001B721A"/>
    <w:rsid w:val="00220B9C"/>
    <w:rsid w:val="00262DE0"/>
    <w:rsid w:val="00263FB4"/>
    <w:rsid w:val="00264FBA"/>
    <w:rsid w:val="002C3BE6"/>
    <w:rsid w:val="002E5535"/>
    <w:rsid w:val="002F1EA5"/>
    <w:rsid w:val="003513A8"/>
    <w:rsid w:val="0039443C"/>
    <w:rsid w:val="003B0DB9"/>
    <w:rsid w:val="003D356C"/>
    <w:rsid w:val="004061C0"/>
    <w:rsid w:val="00463BB7"/>
    <w:rsid w:val="004647A5"/>
    <w:rsid w:val="0049470E"/>
    <w:rsid w:val="00495481"/>
    <w:rsid w:val="004D3FC7"/>
    <w:rsid w:val="00572DC7"/>
    <w:rsid w:val="005E1B59"/>
    <w:rsid w:val="00610D83"/>
    <w:rsid w:val="00611B58"/>
    <w:rsid w:val="00661827"/>
    <w:rsid w:val="00681E33"/>
    <w:rsid w:val="00734623"/>
    <w:rsid w:val="00741431"/>
    <w:rsid w:val="00741DD6"/>
    <w:rsid w:val="00743343"/>
    <w:rsid w:val="007532A6"/>
    <w:rsid w:val="00760085"/>
    <w:rsid w:val="007B35CF"/>
    <w:rsid w:val="00832B02"/>
    <w:rsid w:val="008452E3"/>
    <w:rsid w:val="009E3C22"/>
    <w:rsid w:val="00A25F3B"/>
    <w:rsid w:val="00A43900"/>
    <w:rsid w:val="00AD2477"/>
    <w:rsid w:val="00AD5A4B"/>
    <w:rsid w:val="00B52F14"/>
    <w:rsid w:val="00B64A0D"/>
    <w:rsid w:val="00B9510F"/>
    <w:rsid w:val="00BA25A4"/>
    <w:rsid w:val="00C171DE"/>
    <w:rsid w:val="00C3469F"/>
    <w:rsid w:val="00C85417"/>
    <w:rsid w:val="00C922C0"/>
    <w:rsid w:val="00CD1960"/>
    <w:rsid w:val="00E06074"/>
    <w:rsid w:val="00E24564"/>
    <w:rsid w:val="00E734C4"/>
    <w:rsid w:val="00EA6C72"/>
    <w:rsid w:val="00F52674"/>
    <w:rsid w:val="00F66CFC"/>
    <w:rsid w:val="00FB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je_vicentini</cp:lastModifiedBy>
  <cp:revision>3</cp:revision>
  <dcterms:created xsi:type="dcterms:W3CDTF">2016-02-11T16:57:00Z</dcterms:created>
  <dcterms:modified xsi:type="dcterms:W3CDTF">2016-02-11T17:51:00Z</dcterms:modified>
</cp:coreProperties>
</file>