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566F" w14:textId="77777777" w:rsidR="00E24564" w:rsidRDefault="005B0920" w:rsidP="002F1EA5">
      <w:pPr>
        <w:jc w:val="center"/>
        <w:rPr>
          <w:b/>
          <w:sz w:val="28"/>
          <w:lang w:val="en-US"/>
        </w:rPr>
      </w:pPr>
      <w:r>
        <w:rPr>
          <w:b/>
          <w:sz w:val="28"/>
          <w:lang w:val="en-US"/>
        </w:rPr>
        <w:t>T</w:t>
      </w:r>
      <w:r w:rsidR="00AD1738" w:rsidRPr="00AD1738">
        <w:rPr>
          <w:b/>
          <w:sz w:val="28"/>
          <w:lang w:val="en-US"/>
        </w:rPr>
        <w:t xml:space="preserve">halamic </w:t>
      </w:r>
      <w:r>
        <w:rPr>
          <w:b/>
          <w:sz w:val="28"/>
          <w:lang w:val="en-US"/>
        </w:rPr>
        <w:t xml:space="preserve">volumes </w:t>
      </w:r>
      <w:r w:rsidR="00D817DC">
        <w:rPr>
          <w:b/>
          <w:sz w:val="28"/>
          <w:lang w:val="en-US"/>
        </w:rPr>
        <w:t xml:space="preserve">in </w:t>
      </w:r>
      <w:r w:rsidR="00AD1738" w:rsidRPr="00AD1738">
        <w:rPr>
          <w:b/>
          <w:sz w:val="28"/>
          <w:lang w:val="en-US"/>
        </w:rPr>
        <w:t>different age groups</w:t>
      </w:r>
    </w:p>
    <w:p w14:paraId="38EEB020" w14:textId="77777777" w:rsidR="00AD1738" w:rsidRPr="00E24564" w:rsidRDefault="00AD1738" w:rsidP="002F1EA5">
      <w:pPr>
        <w:jc w:val="center"/>
        <w:rPr>
          <w:lang w:val="en-US"/>
        </w:rPr>
      </w:pPr>
    </w:p>
    <w:p w14:paraId="37E78043" w14:textId="77777777" w:rsidR="00AD1738" w:rsidRDefault="00AD1738" w:rsidP="00AD1738">
      <w:pPr>
        <w:pStyle w:val="SemEspaamento"/>
        <w:jc w:val="center"/>
      </w:pPr>
      <w:r>
        <w:t xml:space="preserve">A. </w:t>
      </w:r>
      <w:r w:rsidR="005B0920">
        <w:t>F. B. Camargo</w:t>
      </w:r>
      <w:r w:rsidRPr="002400E4">
        <w:t xml:space="preserve">, L. </w:t>
      </w:r>
      <w:r w:rsidR="005B0920">
        <w:t xml:space="preserve">M. </w:t>
      </w:r>
      <w:r>
        <w:t>L</w:t>
      </w:r>
      <w:r w:rsidR="005B0920">
        <w:t>i</w:t>
      </w:r>
      <w:r w:rsidRPr="002400E4">
        <w:t xml:space="preserve">, D. </w:t>
      </w:r>
      <w:r w:rsidR="005B0920">
        <w:t>S. F. Magalhães</w:t>
      </w:r>
    </w:p>
    <w:p w14:paraId="47304C80" w14:textId="77777777" w:rsidR="00263FB4" w:rsidRDefault="00AD1738" w:rsidP="00AD1738">
      <w:pPr>
        <w:jc w:val="center"/>
        <w:rPr>
          <w:sz w:val="20"/>
          <w:lang w:val="en-US"/>
        </w:rPr>
      </w:pPr>
      <w:r w:rsidRPr="00816346">
        <w:rPr>
          <w:sz w:val="20"/>
          <w:lang w:val="en-US"/>
        </w:rPr>
        <w:t>Neuroimaging Laboratory</w:t>
      </w:r>
      <w:r>
        <w:rPr>
          <w:sz w:val="20"/>
          <w:lang w:val="en-US"/>
        </w:rPr>
        <w:t>, Dept. of Neurology at FCM, UNICAMP</w:t>
      </w:r>
    </w:p>
    <w:p w14:paraId="22F3B340" w14:textId="77777777" w:rsidR="00AD1738" w:rsidRDefault="00AD1738" w:rsidP="00AD1738">
      <w:pPr>
        <w:jc w:val="center"/>
        <w:rPr>
          <w:lang w:val="en-US"/>
        </w:rPr>
      </w:pPr>
    </w:p>
    <w:p w14:paraId="301A206D" w14:textId="3339985D" w:rsidR="00AD1738" w:rsidRDefault="00263FB4" w:rsidP="00AD1738">
      <w:pPr>
        <w:rPr>
          <w:lang w:val="en-US"/>
        </w:rPr>
      </w:pPr>
      <w:r w:rsidRPr="00263FB4">
        <w:rPr>
          <w:b/>
          <w:lang w:val="en-US"/>
        </w:rPr>
        <w:t>Introduction:</w:t>
      </w:r>
      <w:r>
        <w:rPr>
          <w:lang w:val="en-US"/>
        </w:rPr>
        <w:t xml:space="preserve"> </w:t>
      </w:r>
      <w:r w:rsidR="00AD1738">
        <w:rPr>
          <w:lang w:val="en-US"/>
        </w:rPr>
        <w:t xml:space="preserve">The volumetric brain study may provide information about </w:t>
      </w:r>
      <w:r w:rsidR="00D817DC">
        <w:rPr>
          <w:lang w:val="en-US"/>
        </w:rPr>
        <w:t xml:space="preserve">anatomy of underlying </w:t>
      </w:r>
      <w:r w:rsidR="00AD1738">
        <w:rPr>
          <w:lang w:val="en-US"/>
        </w:rPr>
        <w:t>pathologica</w:t>
      </w:r>
      <w:r w:rsidR="00D817DC">
        <w:rPr>
          <w:lang w:val="en-US"/>
        </w:rPr>
        <w:t>l processes. Therefore, proper study of</w:t>
      </w:r>
      <w:r w:rsidR="00AD1738">
        <w:rPr>
          <w:lang w:val="en-US"/>
        </w:rPr>
        <w:t xml:space="preserve"> thalamus, deep structure involved in</w:t>
      </w:r>
      <w:r w:rsidR="00D817DC">
        <w:rPr>
          <w:lang w:val="en-US"/>
        </w:rPr>
        <w:t xml:space="preserve"> reception and transmission of information in the brain is important to understand the clinical manifestation of </w:t>
      </w:r>
      <w:r w:rsidR="00AD1738">
        <w:rPr>
          <w:lang w:val="en-US"/>
        </w:rPr>
        <w:t xml:space="preserve">diseases such </w:t>
      </w:r>
      <w:r w:rsidR="00D817DC">
        <w:rPr>
          <w:lang w:val="en-US"/>
        </w:rPr>
        <w:t xml:space="preserve">epilepsy, stroke </w:t>
      </w:r>
      <w:r w:rsidR="00AD1738">
        <w:rPr>
          <w:lang w:val="en-US"/>
        </w:rPr>
        <w:t>as</w:t>
      </w:r>
      <w:r w:rsidR="00D817DC">
        <w:rPr>
          <w:lang w:val="en-US"/>
        </w:rPr>
        <w:t xml:space="preserve"> well as neurodegenerative processes</w:t>
      </w:r>
      <w:r w:rsidR="006B0A4A">
        <w:rPr>
          <w:lang w:val="en-US"/>
        </w:rPr>
        <w:t>, which may occur in different ages</w:t>
      </w:r>
      <w:r w:rsidR="00D817DC">
        <w:rPr>
          <w:lang w:val="en-US"/>
        </w:rPr>
        <w:t xml:space="preserve">. </w:t>
      </w:r>
      <w:r w:rsidR="00AD1738">
        <w:rPr>
          <w:lang w:val="en-US"/>
        </w:rPr>
        <w:t>Thus, we performed the segm</w:t>
      </w:r>
      <w:r w:rsidR="006B0A4A">
        <w:rPr>
          <w:lang w:val="en-US"/>
        </w:rPr>
        <w:t>entation and volumetric measurement of thalamus on</w:t>
      </w:r>
      <w:r w:rsidR="00AD1738">
        <w:rPr>
          <w:lang w:val="en-US"/>
        </w:rPr>
        <w:t xml:space="preserve"> magnetic resonance images (MRI) of healthy subjects in three age groups, in order to identify an average volume for each age studied.</w:t>
      </w:r>
    </w:p>
    <w:p w14:paraId="35C3E528" w14:textId="4396FD34" w:rsidR="00263FB4" w:rsidRDefault="00263FB4" w:rsidP="00263FB4">
      <w:pPr>
        <w:rPr>
          <w:lang w:val="en-US"/>
        </w:rPr>
      </w:pPr>
      <w:r w:rsidRPr="00263FB4">
        <w:rPr>
          <w:b/>
          <w:lang w:val="en-US"/>
        </w:rPr>
        <w:t>Materials and Methods:</w:t>
      </w:r>
      <w:r>
        <w:rPr>
          <w:lang w:val="en-US"/>
        </w:rPr>
        <w:t xml:space="preserve"> </w:t>
      </w:r>
      <w:r w:rsidR="00AD1738">
        <w:rPr>
          <w:lang w:val="en-US"/>
        </w:rPr>
        <w:t xml:space="preserve">Segmentation of thalami </w:t>
      </w:r>
      <w:proofErr w:type="gramStart"/>
      <w:r w:rsidR="00AD1738">
        <w:rPr>
          <w:lang w:val="en-US"/>
        </w:rPr>
        <w:t>was manually performed</w:t>
      </w:r>
      <w:proofErr w:type="gramEnd"/>
      <w:r w:rsidR="00AD1738">
        <w:rPr>
          <w:lang w:val="en-US"/>
        </w:rPr>
        <w:t xml:space="preserve"> using the </w:t>
      </w:r>
      <w:proofErr w:type="spellStart"/>
      <w:r w:rsidR="00AD1738">
        <w:rPr>
          <w:lang w:val="en-US"/>
        </w:rPr>
        <w:t>MRIcron</w:t>
      </w:r>
      <w:proofErr w:type="spellEnd"/>
      <w:r w:rsidR="00AD1738">
        <w:rPr>
          <w:lang w:val="en-US"/>
        </w:rPr>
        <w:t xml:space="preserve"> software on T1 volumetric isotropic 1mm voxel brain imaging acquired from healthy individuals in a 3T MRI (Phillips, </w:t>
      </w:r>
      <w:proofErr w:type="spellStart"/>
      <w:r w:rsidR="00AD1738">
        <w:rPr>
          <w:lang w:val="en-US"/>
        </w:rPr>
        <w:t>Achieva</w:t>
      </w:r>
      <w:proofErr w:type="spellEnd"/>
      <w:r w:rsidR="00AD1738">
        <w:rPr>
          <w:lang w:val="en-US"/>
        </w:rPr>
        <w:t xml:space="preserve">, Holland) from a brain imaging data bank. We studied 90 subjects (45 women), </w:t>
      </w:r>
      <w:r w:rsidR="000B433A">
        <w:rPr>
          <w:lang w:val="en-US"/>
        </w:rPr>
        <w:t>equally divided into 3 age groups:</w:t>
      </w:r>
      <w:r w:rsidR="00AD1738">
        <w:rPr>
          <w:lang w:val="en-US"/>
        </w:rPr>
        <w:t xml:space="preserve"> Group A, </w:t>
      </w:r>
      <w:r w:rsidR="000B433A">
        <w:rPr>
          <w:lang w:val="en-US"/>
        </w:rPr>
        <w:t>mean age 16</w:t>
      </w:r>
      <w:proofErr w:type="gramStart"/>
      <w:r w:rsidR="000B433A">
        <w:rPr>
          <w:lang w:val="en-US"/>
        </w:rPr>
        <w:t>,5</w:t>
      </w:r>
      <w:proofErr w:type="gramEnd"/>
      <w:r w:rsidR="000B433A">
        <w:rPr>
          <w:lang w:val="en-US"/>
        </w:rPr>
        <w:t xml:space="preserve"> (range from 12 to 20)</w:t>
      </w:r>
      <w:r w:rsidR="00AD1738">
        <w:rPr>
          <w:lang w:val="en-US"/>
        </w:rPr>
        <w:t xml:space="preserve">; Group B, </w:t>
      </w:r>
      <w:r w:rsidR="000B433A">
        <w:rPr>
          <w:lang w:val="en-US"/>
        </w:rPr>
        <w:t>mean age 33,7 (range from 30 to 40)</w:t>
      </w:r>
      <w:r w:rsidR="00AD1738">
        <w:rPr>
          <w:lang w:val="en-US"/>
        </w:rPr>
        <w:t xml:space="preserve">; and Group C, </w:t>
      </w:r>
      <w:r w:rsidR="000B433A">
        <w:rPr>
          <w:lang w:val="en-US"/>
        </w:rPr>
        <w:t>mean age 60,7 (range from 50 to 90)</w:t>
      </w:r>
      <w:r w:rsidR="00AD1738">
        <w:rPr>
          <w:lang w:val="en-US"/>
        </w:rPr>
        <w:t>. We used Atlas [1] as reference for thalamus segmentation.</w:t>
      </w:r>
    </w:p>
    <w:p w14:paraId="6D7EE338" w14:textId="127C906E" w:rsidR="00AD1738" w:rsidRPr="000B433A" w:rsidRDefault="00263FB4" w:rsidP="00AD1738">
      <w:pPr>
        <w:pStyle w:val="SemEspaamento"/>
        <w:jc w:val="both"/>
        <w:rPr>
          <w:lang w:val="en-US"/>
        </w:rPr>
      </w:pPr>
      <w:bookmarkStart w:id="0" w:name="_GoBack"/>
      <w:r w:rsidRPr="00263FB4">
        <w:rPr>
          <w:b/>
          <w:lang w:val="en-US"/>
        </w:rPr>
        <w:t>Results:</w:t>
      </w:r>
      <w:r>
        <w:rPr>
          <w:lang w:val="en-US"/>
        </w:rPr>
        <w:t xml:space="preserve"> </w:t>
      </w:r>
      <w:r w:rsidR="00AD1738">
        <w:rPr>
          <w:lang w:val="en-US"/>
        </w:rPr>
        <w:t xml:space="preserve">The results for thalami segmentation for each group </w:t>
      </w:r>
      <w:proofErr w:type="gramStart"/>
      <w:r w:rsidR="00AD1738">
        <w:rPr>
          <w:lang w:val="en-US"/>
        </w:rPr>
        <w:t>are shown</w:t>
      </w:r>
      <w:proofErr w:type="gramEnd"/>
      <w:r w:rsidR="00AD1738">
        <w:rPr>
          <w:lang w:val="en-US"/>
        </w:rPr>
        <w:t xml:space="preserve"> in Table 1.</w:t>
      </w:r>
    </w:p>
    <w:tbl>
      <w:tblPr>
        <w:tblStyle w:val="TabelaSimples21"/>
        <w:tblW w:w="0" w:type="auto"/>
        <w:tblLook w:val="04A0" w:firstRow="1" w:lastRow="0" w:firstColumn="1" w:lastColumn="0" w:noHBand="0" w:noVBand="1"/>
      </w:tblPr>
      <w:tblGrid>
        <w:gridCol w:w="1641"/>
        <w:gridCol w:w="1642"/>
        <w:gridCol w:w="1643"/>
        <w:gridCol w:w="1642"/>
        <w:gridCol w:w="1643"/>
        <w:gridCol w:w="1643"/>
      </w:tblGrid>
      <w:tr w:rsidR="00AD1738" w:rsidRPr="000B433A" w14:paraId="1DFCC964" w14:textId="77777777" w:rsidTr="00D16EF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gridSpan w:val="6"/>
            <w:tcBorders>
              <w:top w:val="nil"/>
              <w:bottom w:val="single" w:sz="4" w:space="0" w:color="auto"/>
            </w:tcBorders>
            <w:vAlign w:val="center"/>
          </w:tcPr>
          <w:bookmarkEnd w:id="0"/>
          <w:p w14:paraId="37DFC106" w14:textId="713BE7C1" w:rsidR="00AD1738" w:rsidRPr="00AD1738" w:rsidRDefault="00AD1738" w:rsidP="000B433A">
            <w:pPr>
              <w:pStyle w:val="SemEspaamento"/>
              <w:jc w:val="center"/>
              <w:rPr>
                <w:b w:val="0"/>
                <w:sz w:val="22"/>
                <w:lang w:val="en-US"/>
              </w:rPr>
            </w:pPr>
            <w:r w:rsidRPr="00AD1738">
              <w:rPr>
                <w:sz w:val="22"/>
                <w:lang w:val="en-US"/>
              </w:rPr>
              <w:t xml:space="preserve">Table 1 – </w:t>
            </w:r>
            <w:r w:rsidRPr="00AD1738">
              <w:rPr>
                <w:b w:val="0"/>
                <w:sz w:val="22"/>
                <w:lang w:val="en-US"/>
              </w:rPr>
              <w:t>Thalamic volumes</w:t>
            </w:r>
            <w:r w:rsidR="006B0A4A">
              <w:rPr>
                <w:b w:val="0"/>
                <w:sz w:val="22"/>
                <w:lang w:val="en-US"/>
              </w:rPr>
              <w:t xml:space="preserve"> in mm</w:t>
            </w:r>
            <w:r w:rsidR="006B0A4A">
              <w:rPr>
                <w:b w:val="0"/>
                <w:sz w:val="22"/>
                <w:vertAlign w:val="superscript"/>
                <w:lang w:val="en-US"/>
              </w:rPr>
              <w:t xml:space="preserve">3 </w:t>
            </w:r>
            <w:r w:rsidR="000B433A">
              <w:rPr>
                <w:b w:val="0"/>
                <w:sz w:val="22"/>
                <w:lang w:val="en-US"/>
              </w:rPr>
              <w:t xml:space="preserve">mean (SD) </w:t>
            </w:r>
            <w:r w:rsidRPr="00AD1738">
              <w:rPr>
                <w:b w:val="0"/>
                <w:sz w:val="22"/>
                <w:lang w:val="en-US"/>
              </w:rPr>
              <w:t>from manual segmentation for each group of control MRI</w:t>
            </w:r>
          </w:p>
        </w:tc>
      </w:tr>
      <w:tr w:rsidR="00AD1738" w14:paraId="2B35581B" w14:textId="77777777" w:rsidTr="00D16E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83" w:type="dxa"/>
            <w:gridSpan w:val="2"/>
            <w:tcBorders>
              <w:top w:val="single" w:sz="4" w:space="0" w:color="auto"/>
              <w:left w:val="nil"/>
              <w:bottom w:val="single" w:sz="4" w:space="0" w:color="auto"/>
              <w:right w:val="nil"/>
            </w:tcBorders>
            <w:vAlign w:val="center"/>
          </w:tcPr>
          <w:p w14:paraId="05C6BC60" w14:textId="77777777" w:rsidR="00AD1738" w:rsidRPr="008E0C2C" w:rsidRDefault="00AD1738" w:rsidP="005B0920">
            <w:pPr>
              <w:pStyle w:val="SemEspaamento"/>
              <w:jc w:val="center"/>
              <w:rPr>
                <w:sz w:val="20"/>
                <w:lang w:val="en-US"/>
              </w:rPr>
            </w:pPr>
            <w:r>
              <w:rPr>
                <w:sz w:val="20"/>
                <w:lang w:val="en-US"/>
              </w:rPr>
              <w:t>Group A</w:t>
            </w:r>
          </w:p>
        </w:tc>
        <w:tc>
          <w:tcPr>
            <w:tcW w:w="3285" w:type="dxa"/>
            <w:gridSpan w:val="2"/>
            <w:tcBorders>
              <w:top w:val="single" w:sz="4" w:space="0" w:color="auto"/>
              <w:left w:val="nil"/>
              <w:bottom w:val="single" w:sz="4" w:space="0" w:color="auto"/>
              <w:right w:val="nil"/>
            </w:tcBorders>
            <w:vAlign w:val="center"/>
          </w:tcPr>
          <w:p w14:paraId="34356772" w14:textId="77777777" w:rsidR="00AD1738" w:rsidRPr="008E0C2C" w:rsidRDefault="00AD1738" w:rsidP="005B0920">
            <w:pPr>
              <w:pStyle w:val="SemEspaamento"/>
              <w:jc w:val="center"/>
              <w:cnfStyle w:val="000000100000" w:firstRow="0" w:lastRow="0" w:firstColumn="0" w:lastColumn="0" w:oddVBand="0" w:evenVBand="0" w:oddHBand="1" w:evenHBand="0" w:firstRowFirstColumn="0" w:firstRowLastColumn="0" w:lastRowFirstColumn="0" w:lastRowLastColumn="0"/>
              <w:rPr>
                <w:b/>
                <w:sz w:val="20"/>
                <w:lang w:val="en-US"/>
              </w:rPr>
            </w:pPr>
            <w:r w:rsidRPr="008E0C2C">
              <w:rPr>
                <w:b/>
                <w:sz w:val="20"/>
                <w:lang w:val="en-US"/>
              </w:rPr>
              <w:t>Group B</w:t>
            </w:r>
          </w:p>
        </w:tc>
        <w:tc>
          <w:tcPr>
            <w:tcW w:w="3286" w:type="dxa"/>
            <w:gridSpan w:val="2"/>
            <w:tcBorders>
              <w:top w:val="single" w:sz="4" w:space="0" w:color="auto"/>
              <w:left w:val="nil"/>
              <w:bottom w:val="single" w:sz="4" w:space="0" w:color="auto"/>
              <w:right w:val="nil"/>
            </w:tcBorders>
            <w:vAlign w:val="center"/>
          </w:tcPr>
          <w:p w14:paraId="7FCE5F92" w14:textId="77777777" w:rsidR="00AD1738" w:rsidRPr="008E0C2C" w:rsidRDefault="00AD1738" w:rsidP="005B0920">
            <w:pPr>
              <w:pStyle w:val="SemEspaamento"/>
              <w:jc w:val="center"/>
              <w:cnfStyle w:val="000000100000" w:firstRow="0" w:lastRow="0" w:firstColumn="0" w:lastColumn="0" w:oddVBand="0" w:evenVBand="0" w:oddHBand="1" w:evenHBand="0" w:firstRowFirstColumn="0" w:firstRowLastColumn="0" w:lastRowFirstColumn="0" w:lastRowLastColumn="0"/>
              <w:rPr>
                <w:b/>
                <w:sz w:val="20"/>
                <w:lang w:val="en-US"/>
              </w:rPr>
            </w:pPr>
            <w:r w:rsidRPr="008E0C2C">
              <w:rPr>
                <w:b/>
                <w:sz w:val="20"/>
                <w:lang w:val="en-US"/>
              </w:rPr>
              <w:t>Group C</w:t>
            </w:r>
          </w:p>
        </w:tc>
      </w:tr>
      <w:tr w:rsidR="000B433A" w14:paraId="6769DB1A" w14:textId="77777777" w:rsidTr="00D16EF3">
        <w:trPr>
          <w:trHeight w:val="345"/>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left w:val="nil"/>
              <w:bottom w:val="single" w:sz="4" w:space="0" w:color="auto"/>
              <w:right w:val="nil"/>
            </w:tcBorders>
            <w:vAlign w:val="center"/>
          </w:tcPr>
          <w:p w14:paraId="3881C539" w14:textId="77777777" w:rsidR="00AD1738" w:rsidRPr="008E0C2C" w:rsidRDefault="00AD1738" w:rsidP="005B0920">
            <w:pPr>
              <w:pStyle w:val="SemEspaamento"/>
              <w:jc w:val="center"/>
              <w:rPr>
                <w:sz w:val="20"/>
                <w:lang w:val="en-US"/>
              </w:rPr>
            </w:pPr>
            <w:r w:rsidRPr="008E0C2C">
              <w:rPr>
                <w:sz w:val="20"/>
                <w:lang w:val="en-US"/>
              </w:rPr>
              <w:t>Left</w:t>
            </w:r>
          </w:p>
        </w:tc>
        <w:tc>
          <w:tcPr>
            <w:tcW w:w="1642" w:type="dxa"/>
            <w:tcBorders>
              <w:top w:val="single" w:sz="4" w:space="0" w:color="auto"/>
              <w:left w:val="nil"/>
              <w:bottom w:val="single" w:sz="4" w:space="0" w:color="auto"/>
              <w:right w:val="single" w:sz="4" w:space="0" w:color="auto"/>
            </w:tcBorders>
            <w:vAlign w:val="center"/>
          </w:tcPr>
          <w:p w14:paraId="6577E523" w14:textId="77777777" w:rsidR="00AD1738" w:rsidRPr="008E0C2C" w:rsidRDefault="00AD1738" w:rsidP="005B0920">
            <w:pPr>
              <w:pStyle w:val="SemEspaamento"/>
              <w:jc w:val="center"/>
              <w:cnfStyle w:val="000000000000" w:firstRow="0" w:lastRow="0" w:firstColumn="0" w:lastColumn="0" w:oddVBand="0" w:evenVBand="0" w:oddHBand="0" w:evenHBand="0" w:firstRowFirstColumn="0" w:firstRowLastColumn="0" w:lastRowFirstColumn="0" w:lastRowLastColumn="0"/>
              <w:rPr>
                <w:b/>
                <w:sz w:val="20"/>
                <w:lang w:val="en-US"/>
              </w:rPr>
            </w:pPr>
            <w:r w:rsidRPr="008E0C2C">
              <w:rPr>
                <w:b/>
                <w:sz w:val="20"/>
                <w:lang w:val="en-US"/>
              </w:rPr>
              <w:t>Right</w:t>
            </w:r>
          </w:p>
        </w:tc>
        <w:tc>
          <w:tcPr>
            <w:tcW w:w="1643" w:type="dxa"/>
            <w:tcBorders>
              <w:top w:val="single" w:sz="4" w:space="0" w:color="auto"/>
              <w:left w:val="single" w:sz="4" w:space="0" w:color="auto"/>
              <w:bottom w:val="single" w:sz="4" w:space="0" w:color="auto"/>
              <w:right w:val="nil"/>
            </w:tcBorders>
            <w:vAlign w:val="center"/>
          </w:tcPr>
          <w:p w14:paraId="439E49DB" w14:textId="77777777" w:rsidR="00AD1738" w:rsidRPr="008E0C2C" w:rsidRDefault="00AD1738" w:rsidP="005B0920">
            <w:pPr>
              <w:pStyle w:val="SemEspaamento"/>
              <w:jc w:val="center"/>
              <w:cnfStyle w:val="000000000000" w:firstRow="0" w:lastRow="0" w:firstColumn="0" w:lastColumn="0" w:oddVBand="0" w:evenVBand="0" w:oddHBand="0" w:evenHBand="0" w:firstRowFirstColumn="0" w:firstRowLastColumn="0" w:lastRowFirstColumn="0" w:lastRowLastColumn="0"/>
              <w:rPr>
                <w:b/>
                <w:sz w:val="20"/>
                <w:lang w:val="en-US"/>
              </w:rPr>
            </w:pPr>
            <w:r w:rsidRPr="008E0C2C">
              <w:rPr>
                <w:b/>
                <w:sz w:val="20"/>
                <w:lang w:val="en-US"/>
              </w:rPr>
              <w:t>Left</w:t>
            </w:r>
          </w:p>
        </w:tc>
        <w:tc>
          <w:tcPr>
            <w:tcW w:w="1642" w:type="dxa"/>
            <w:tcBorders>
              <w:top w:val="single" w:sz="4" w:space="0" w:color="auto"/>
              <w:left w:val="nil"/>
              <w:bottom w:val="single" w:sz="4" w:space="0" w:color="auto"/>
              <w:right w:val="single" w:sz="4" w:space="0" w:color="auto"/>
            </w:tcBorders>
            <w:vAlign w:val="center"/>
          </w:tcPr>
          <w:p w14:paraId="2A841DBE" w14:textId="77777777" w:rsidR="00AD1738" w:rsidRPr="008E0C2C" w:rsidRDefault="00AD1738" w:rsidP="005B0920">
            <w:pPr>
              <w:pStyle w:val="SemEspaamento"/>
              <w:jc w:val="center"/>
              <w:cnfStyle w:val="000000000000" w:firstRow="0" w:lastRow="0" w:firstColumn="0" w:lastColumn="0" w:oddVBand="0" w:evenVBand="0" w:oddHBand="0" w:evenHBand="0" w:firstRowFirstColumn="0" w:firstRowLastColumn="0" w:lastRowFirstColumn="0" w:lastRowLastColumn="0"/>
              <w:rPr>
                <w:b/>
                <w:sz w:val="20"/>
                <w:lang w:val="en-US"/>
              </w:rPr>
            </w:pPr>
            <w:r w:rsidRPr="008E0C2C">
              <w:rPr>
                <w:b/>
                <w:sz w:val="20"/>
                <w:lang w:val="en-US"/>
              </w:rPr>
              <w:t>Right</w:t>
            </w:r>
          </w:p>
        </w:tc>
        <w:tc>
          <w:tcPr>
            <w:tcW w:w="1643" w:type="dxa"/>
            <w:tcBorders>
              <w:top w:val="single" w:sz="4" w:space="0" w:color="auto"/>
              <w:left w:val="single" w:sz="4" w:space="0" w:color="auto"/>
              <w:bottom w:val="single" w:sz="4" w:space="0" w:color="auto"/>
              <w:right w:val="nil"/>
            </w:tcBorders>
            <w:vAlign w:val="center"/>
          </w:tcPr>
          <w:p w14:paraId="2975CAEE" w14:textId="77777777" w:rsidR="00AD1738" w:rsidRPr="008E0C2C" w:rsidRDefault="00AD1738" w:rsidP="005B0920">
            <w:pPr>
              <w:pStyle w:val="SemEspaamento"/>
              <w:jc w:val="center"/>
              <w:cnfStyle w:val="000000000000" w:firstRow="0" w:lastRow="0" w:firstColumn="0" w:lastColumn="0" w:oddVBand="0" w:evenVBand="0" w:oddHBand="0" w:evenHBand="0" w:firstRowFirstColumn="0" w:firstRowLastColumn="0" w:lastRowFirstColumn="0" w:lastRowLastColumn="0"/>
              <w:rPr>
                <w:b/>
                <w:sz w:val="20"/>
                <w:lang w:val="en-US"/>
              </w:rPr>
            </w:pPr>
            <w:r w:rsidRPr="008E0C2C">
              <w:rPr>
                <w:b/>
                <w:sz w:val="20"/>
                <w:lang w:val="en-US"/>
              </w:rPr>
              <w:t>Left</w:t>
            </w:r>
          </w:p>
        </w:tc>
        <w:tc>
          <w:tcPr>
            <w:tcW w:w="1643" w:type="dxa"/>
            <w:tcBorders>
              <w:top w:val="single" w:sz="4" w:space="0" w:color="auto"/>
              <w:left w:val="nil"/>
              <w:bottom w:val="single" w:sz="4" w:space="0" w:color="auto"/>
              <w:right w:val="nil"/>
            </w:tcBorders>
            <w:vAlign w:val="center"/>
          </w:tcPr>
          <w:p w14:paraId="26F6DC30" w14:textId="77777777" w:rsidR="00AD1738" w:rsidRPr="008E0C2C" w:rsidRDefault="00AD1738" w:rsidP="005B0920">
            <w:pPr>
              <w:pStyle w:val="SemEspaamento"/>
              <w:jc w:val="center"/>
              <w:cnfStyle w:val="000000000000" w:firstRow="0" w:lastRow="0" w:firstColumn="0" w:lastColumn="0" w:oddVBand="0" w:evenVBand="0" w:oddHBand="0" w:evenHBand="0" w:firstRowFirstColumn="0" w:firstRowLastColumn="0" w:lastRowFirstColumn="0" w:lastRowLastColumn="0"/>
              <w:rPr>
                <w:b/>
                <w:sz w:val="20"/>
                <w:lang w:val="en-US"/>
              </w:rPr>
            </w:pPr>
            <w:r w:rsidRPr="008E0C2C">
              <w:rPr>
                <w:b/>
                <w:sz w:val="20"/>
                <w:lang w:val="en-US"/>
              </w:rPr>
              <w:t>Right</w:t>
            </w:r>
          </w:p>
        </w:tc>
      </w:tr>
      <w:tr w:rsidR="000B433A" w14:paraId="3AB0CE09" w14:textId="77777777" w:rsidTr="00D16EF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41" w:type="dxa"/>
            <w:tcBorders>
              <w:top w:val="single" w:sz="4" w:space="0" w:color="auto"/>
              <w:left w:val="nil"/>
              <w:bottom w:val="single" w:sz="4" w:space="0" w:color="auto"/>
              <w:right w:val="nil"/>
            </w:tcBorders>
            <w:vAlign w:val="center"/>
          </w:tcPr>
          <w:p w14:paraId="63076117" w14:textId="7E0BDF9E" w:rsidR="00AD1738" w:rsidRPr="00BE4969" w:rsidRDefault="00AD1738" w:rsidP="005B0920">
            <w:pPr>
              <w:pStyle w:val="SemEspaamento"/>
              <w:jc w:val="center"/>
              <w:rPr>
                <w:b w:val="0"/>
                <w:sz w:val="20"/>
                <w:lang w:val="en-US"/>
              </w:rPr>
            </w:pPr>
            <w:r w:rsidRPr="00BE4969">
              <w:rPr>
                <w:b w:val="0"/>
                <w:sz w:val="20"/>
                <w:lang w:val="en-US"/>
              </w:rPr>
              <w:t>4646</w:t>
            </w:r>
            <w:r>
              <w:rPr>
                <w:b w:val="0"/>
                <w:sz w:val="20"/>
                <w:lang w:val="en-US"/>
              </w:rPr>
              <w:t>,3</w:t>
            </w:r>
            <w:r w:rsidR="000B433A">
              <w:rPr>
                <w:b w:val="0"/>
                <w:sz w:val="20"/>
                <w:lang w:val="en-US"/>
              </w:rPr>
              <w:t xml:space="preserve"> (</w:t>
            </w:r>
            <w:r w:rsidRPr="00BE4969">
              <w:rPr>
                <w:b w:val="0"/>
                <w:sz w:val="20"/>
                <w:lang w:val="en-US"/>
              </w:rPr>
              <w:t>226,8</w:t>
            </w:r>
            <w:r w:rsidR="000B433A">
              <w:rPr>
                <w:b w:val="0"/>
                <w:sz w:val="20"/>
                <w:lang w:val="en-US"/>
              </w:rPr>
              <w:t>)</w:t>
            </w:r>
          </w:p>
        </w:tc>
        <w:tc>
          <w:tcPr>
            <w:tcW w:w="1642" w:type="dxa"/>
            <w:tcBorders>
              <w:top w:val="single" w:sz="4" w:space="0" w:color="auto"/>
              <w:left w:val="nil"/>
              <w:bottom w:val="single" w:sz="4" w:space="0" w:color="auto"/>
              <w:right w:val="single" w:sz="4" w:space="0" w:color="auto"/>
            </w:tcBorders>
            <w:vAlign w:val="center"/>
          </w:tcPr>
          <w:p w14:paraId="2D2497BB" w14:textId="44F6A70A" w:rsidR="00AD1738" w:rsidRPr="00BE4969" w:rsidRDefault="00196F80" w:rsidP="000B433A">
            <w:pPr>
              <w:pStyle w:val="SemEspaamento"/>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4609</w:t>
            </w:r>
            <w:r w:rsidR="00AD1738">
              <w:rPr>
                <w:sz w:val="20"/>
                <w:lang w:val="en-US"/>
              </w:rPr>
              <w:t>,</w:t>
            </w:r>
            <w:r>
              <w:rPr>
                <w:sz w:val="20"/>
                <w:lang w:val="en-US"/>
              </w:rPr>
              <w:t>2</w:t>
            </w:r>
            <w:r w:rsidR="000B433A">
              <w:rPr>
                <w:sz w:val="20"/>
                <w:lang w:val="en-US"/>
              </w:rPr>
              <w:t xml:space="preserve"> (</w:t>
            </w:r>
            <w:r w:rsidR="00AD1738" w:rsidRPr="00BE4969">
              <w:rPr>
                <w:sz w:val="20"/>
                <w:lang w:val="en-US"/>
              </w:rPr>
              <w:t>2</w:t>
            </w:r>
            <w:r>
              <w:rPr>
                <w:sz w:val="20"/>
                <w:lang w:val="en-US"/>
              </w:rPr>
              <w:t>78,1</w:t>
            </w:r>
            <w:r w:rsidR="000B433A">
              <w:rPr>
                <w:sz w:val="20"/>
                <w:lang w:val="en-US"/>
              </w:rPr>
              <w:t>)</w:t>
            </w:r>
          </w:p>
        </w:tc>
        <w:tc>
          <w:tcPr>
            <w:tcW w:w="1643" w:type="dxa"/>
            <w:tcBorders>
              <w:top w:val="single" w:sz="4" w:space="0" w:color="auto"/>
              <w:left w:val="single" w:sz="4" w:space="0" w:color="auto"/>
              <w:bottom w:val="single" w:sz="4" w:space="0" w:color="auto"/>
              <w:right w:val="nil"/>
            </w:tcBorders>
            <w:vAlign w:val="center"/>
          </w:tcPr>
          <w:p w14:paraId="6FDDBBBE" w14:textId="592B1CB9" w:rsidR="00AD1738" w:rsidRPr="00BE4969" w:rsidRDefault="00AD1738" w:rsidP="000B433A">
            <w:pPr>
              <w:pStyle w:val="SemEspaamento"/>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5585,7</w:t>
            </w:r>
            <w:r w:rsidR="000B433A">
              <w:rPr>
                <w:sz w:val="20"/>
                <w:lang w:val="en-US"/>
              </w:rPr>
              <w:t xml:space="preserve"> (</w:t>
            </w:r>
            <w:r>
              <w:rPr>
                <w:sz w:val="20"/>
                <w:lang w:val="en-US"/>
              </w:rPr>
              <w:t>183,1</w:t>
            </w:r>
            <w:r w:rsidR="000B433A">
              <w:rPr>
                <w:sz w:val="20"/>
                <w:lang w:val="en-US"/>
              </w:rPr>
              <w:t>)</w:t>
            </w:r>
          </w:p>
        </w:tc>
        <w:tc>
          <w:tcPr>
            <w:tcW w:w="1642" w:type="dxa"/>
            <w:tcBorders>
              <w:top w:val="single" w:sz="4" w:space="0" w:color="auto"/>
              <w:left w:val="nil"/>
              <w:bottom w:val="single" w:sz="4" w:space="0" w:color="auto"/>
              <w:right w:val="single" w:sz="4" w:space="0" w:color="auto"/>
            </w:tcBorders>
            <w:vAlign w:val="center"/>
          </w:tcPr>
          <w:p w14:paraId="28786DEC" w14:textId="228BE379" w:rsidR="00AD1738" w:rsidRPr="00BE4969" w:rsidRDefault="00AD1738" w:rsidP="000B433A">
            <w:pPr>
              <w:pStyle w:val="SemEspaamento"/>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5543,7</w:t>
            </w:r>
            <w:r w:rsidR="000B433A">
              <w:rPr>
                <w:sz w:val="20"/>
                <w:lang w:val="en-US"/>
              </w:rPr>
              <w:t xml:space="preserve"> (</w:t>
            </w:r>
            <w:r>
              <w:rPr>
                <w:sz w:val="20"/>
                <w:lang w:val="en-US"/>
              </w:rPr>
              <w:t>203,1</w:t>
            </w:r>
            <w:r w:rsidR="000B433A">
              <w:rPr>
                <w:sz w:val="20"/>
                <w:lang w:val="en-US"/>
              </w:rPr>
              <w:t>)</w:t>
            </w:r>
          </w:p>
        </w:tc>
        <w:tc>
          <w:tcPr>
            <w:tcW w:w="1643" w:type="dxa"/>
            <w:tcBorders>
              <w:top w:val="single" w:sz="4" w:space="0" w:color="auto"/>
              <w:left w:val="single" w:sz="4" w:space="0" w:color="auto"/>
              <w:bottom w:val="single" w:sz="4" w:space="0" w:color="auto"/>
              <w:right w:val="nil"/>
            </w:tcBorders>
            <w:vAlign w:val="center"/>
          </w:tcPr>
          <w:p w14:paraId="2F1DC0FD" w14:textId="7A01C8FC" w:rsidR="00AD1738" w:rsidRPr="00BE4969" w:rsidRDefault="00AD1738" w:rsidP="000B433A">
            <w:pPr>
              <w:pStyle w:val="SemEspaamento"/>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4372,1</w:t>
            </w:r>
            <w:r w:rsidR="000B433A">
              <w:rPr>
                <w:sz w:val="20"/>
                <w:lang w:val="en-US"/>
              </w:rPr>
              <w:t xml:space="preserve"> (</w:t>
            </w:r>
            <w:r>
              <w:rPr>
                <w:sz w:val="20"/>
                <w:lang w:val="en-US"/>
              </w:rPr>
              <w:t>240,3</w:t>
            </w:r>
            <w:r w:rsidR="000B433A">
              <w:rPr>
                <w:sz w:val="20"/>
                <w:lang w:val="en-US"/>
              </w:rPr>
              <w:t>)</w:t>
            </w:r>
          </w:p>
        </w:tc>
        <w:tc>
          <w:tcPr>
            <w:tcW w:w="1643" w:type="dxa"/>
            <w:tcBorders>
              <w:top w:val="single" w:sz="4" w:space="0" w:color="auto"/>
              <w:left w:val="nil"/>
              <w:bottom w:val="single" w:sz="4" w:space="0" w:color="auto"/>
              <w:right w:val="nil"/>
            </w:tcBorders>
            <w:vAlign w:val="center"/>
          </w:tcPr>
          <w:p w14:paraId="238183FA" w14:textId="3F9F8E21" w:rsidR="00AD1738" w:rsidRPr="00BE4969" w:rsidRDefault="00AD1738" w:rsidP="000B433A">
            <w:pPr>
              <w:pStyle w:val="SemEspaamento"/>
              <w:jc w:val="cente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4333,8</w:t>
            </w:r>
            <w:r w:rsidR="000B433A">
              <w:rPr>
                <w:sz w:val="20"/>
                <w:lang w:val="en-US"/>
              </w:rPr>
              <w:t xml:space="preserve"> (</w:t>
            </w:r>
            <w:r>
              <w:rPr>
                <w:sz w:val="20"/>
                <w:lang w:val="en-US"/>
              </w:rPr>
              <w:t>203,8</w:t>
            </w:r>
            <w:r w:rsidR="000B433A">
              <w:rPr>
                <w:sz w:val="20"/>
                <w:lang w:val="en-US"/>
              </w:rPr>
              <w:t>)</w:t>
            </w:r>
            <w:r w:rsidR="00D16EF3">
              <w:rPr>
                <w:sz w:val="20"/>
                <w:lang w:val="en-US"/>
              </w:rPr>
              <w:t xml:space="preserve"> </w:t>
            </w:r>
          </w:p>
        </w:tc>
      </w:tr>
    </w:tbl>
    <w:p w14:paraId="2BDCFC4C" w14:textId="419C3EDE" w:rsidR="00263FB4" w:rsidRDefault="00D16EF3" w:rsidP="00D16EF3">
      <w:pPr>
        <w:jc w:val="center"/>
        <w:rPr>
          <w:lang w:val="en-US"/>
        </w:rPr>
      </w:pPr>
      <w:r>
        <w:rPr>
          <w:noProof/>
          <w:lang w:eastAsia="pt-BR"/>
        </w:rPr>
        <w:drawing>
          <wp:inline distT="0" distB="0" distL="0" distR="0" wp14:anchorId="22249A99" wp14:editId="0598D2D8">
            <wp:extent cx="6120130" cy="213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ne-resumo-Brainn.png"/>
                    <pic:cNvPicPr/>
                  </pic:nvPicPr>
                  <pic:blipFill>
                    <a:blip r:embed="rId6">
                      <a:extLst>
                        <a:ext uri="{28A0092B-C50C-407E-A947-70E740481C1C}">
                          <a14:useLocalDpi xmlns:a14="http://schemas.microsoft.com/office/drawing/2010/main" val="0"/>
                        </a:ext>
                      </a:extLst>
                    </a:blip>
                    <a:stretch>
                      <a:fillRect/>
                    </a:stretch>
                  </pic:blipFill>
                  <pic:spPr>
                    <a:xfrm>
                      <a:off x="0" y="0"/>
                      <a:ext cx="6120130" cy="2139950"/>
                    </a:xfrm>
                    <a:prstGeom prst="rect">
                      <a:avLst/>
                    </a:prstGeom>
                  </pic:spPr>
                </pic:pic>
              </a:graphicData>
            </a:graphic>
          </wp:inline>
        </w:drawing>
      </w:r>
    </w:p>
    <w:p w14:paraId="24F5A48F" w14:textId="18EA0BBA" w:rsidR="00AD1738" w:rsidRDefault="00263FB4" w:rsidP="00AD1738">
      <w:pPr>
        <w:rPr>
          <w:lang w:val="en-US"/>
        </w:rPr>
      </w:pPr>
      <w:r w:rsidRPr="00263FB4">
        <w:rPr>
          <w:b/>
          <w:lang w:val="en-US"/>
        </w:rPr>
        <w:t>Discussion:</w:t>
      </w:r>
      <w:r>
        <w:rPr>
          <w:lang w:val="en-US"/>
        </w:rPr>
        <w:t xml:space="preserve"> </w:t>
      </w:r>
      <w:r w:rsidR="00AD1738">
        <w:rPr>
          <w:lang w:val="en-US"/>
        </w:rPr>
        <w:t xml:space="preserve">MRI </w:t>
      </w:r>
      <w:r w:rsidR="006B0A4A">
        <w:rPr>
          <w:lang w:val="en-US"/>
        </w:rPr>
        <w:t xml:space="preserve">studies </w:t>
      </w:r>
      <w:r w:rsidR="00AD1738">
        <w:rPr>
          <w:lang w:val="en-US"/>
        </w:rPr>
        <w:t xml:space="preserve">demonstrated the changes undergone by the human brain during childhood and adolescence [2], so that lower volumes achieved in the Group A, compared to Group B, for example, </w:t>
      </w:r>
      <w:proofErr w:type="gramStart"/>
      <w:r w:rsidR="00AD1738">
        <w:rPr>
          <w:lang w:val="en-US"/>
        </w:rPr>
        <w:t>can be explained</w:t>
      </w:r>
      <w:proofErr w:type="gramEnd"/>
      <w:r w:rsidR="00AD1738">
        <w:rPr>
          <w:lang w:val="en-US"/>
        </w:rPr>
        <w:t xml:space="preserve"> by the age of the subjects. Similarly, Group C also showed </w:t>
      </w:r>
      <w:proofErr w:type="gramStart"/>
      <w:r w:rsidR="00AD1738">
        <w:rPr>
          <w:lang w:val="en-US"/>
        </w:rPr>
        <w:t>a smaller volumes</w:t>
      </w:r>
      <w:proofErr w:type="gramEnd"/>
      <w:r w:rsidR="00AD1738">
        <w:rPr>
          <w:lang w:val="en-US"/>
        </w:rPr>
        <w:t xml:space="preserve">. </w:t>
      </w:r>
      <w:proofErr w:type="gramStart"/>
      <w:r w:rsidR="00AD1738">
        <w:rPr>
          <w:lang w:val="en-US"/>
        </w:rPr>
        <w:t>It’s</w:t>
      </w:r>
      <w:proofErr w:type="gramEnd"/>
      <w:r w:rsidR="00AD1738">
        <w:rPr>
          <w:lang w:val="en-US"/>
        </w:rPr>
        <w:t xml:space="preserve"> known that normal aging reduces the volume of both grey matter and white matter of the brain, and this process is accelerated from the sixth decade of life [3], when the brain parenchyma shrinks as the ventricles increase</w:t>
      </w:r>
      <w:r w:rsidR="00D151CD">
        <w:rPr>
          <w:lang w:val="en-US"/>
        </w:rPr>
        <w:t xml:space="preserve"> [4]</w:t>
      </w:r>
      <w:r w:rsidR="00AD1738">
        <w:rPr>
          <w:lang w:val="en-US"/>
        </w:rPr>
        <w:t xml:space="preserve">. The thalamus is associated with cognitive agility and </w:t>
      </w:r>
      <w:proofErr w:type="gramStart"/>
      <w:r w:rsidR="00AD1738">
        <w:rPr>
          <w:lang w:val="en-US"/>
        </w:rPr>
        <w:t>is affected</w:t>
      </w:r>
      <w:proofErr w:type="gramEnd"/>
      <w:r w:rsidR="00AD1738">
        <w:rPr>
          <w:lang w:val="en-US"/>
        </w:rPr>
        <w:t xml:space="preserve"> by atrophy </w:t>
      </w:r>
      <w:r w:rsidR="006B0A4A">
        <w:rPr>
          <w:lang w:val="en-US"/>
        </w:rPr>
        <w:t>more than other brain areas [2]. F</w:t>
      </w:r>
      <w:r w:rsidR="00AD1738">
        <w:rPr>
          <w:lang w:val="en-US"/>
        </w:rPr>
        <w:t xml:space="preserve">ull maturation of the brain </w:t>
      </w:r>
      <w:proofErr w:type="gramStart"/>
      <w:r w:rsidR="006B0A4A">
        <w:rPr>
          <w:lang w:val="en-US"/>
        </w:rPr>
        <w:t>has been described</w:t>
      </w:r>
      <w:proofErr w:type="gramEnd"/>
      <w:r w:rsidR="006B0A4A">
        <w:rPr>
          <w:lang w:val="en-US"/>
        </w:rPr>
        <w:t xml:space="preserve"> to take place </w:t>
      </w:r>
      <w:r w:rsidR="00AD1738">
        <w:rPr>
          <w:lang w:val="en-US"/>
        </w:rPr>
        <w:t>after adolescence [2]</w:t>
      </w:r>
      <w:r w:rsidR="006B0A4A">
        <w:rPr>
          <w:lang w:val="en-US"/>
        </w:rPr>
        <w:t>, which is supported by our finding.</w:t>
      </w:r>
    </w:p>
    <w:p w14:paraId="42832676" w14:textId="65D0992A" w:rsidR="00AD1738" w:rsidRDefault="00263FB4" w:rsidP="00AD1738">
      <w:pPr>
        <w:rPr>
          <w:lang w:val="en-US"/>
        </w:rPr>
      </w:pPr>
      <w:r w:rsidRPr="00263FB4">
        <w:rPr>
          <w:b/>
          <w:lang w:val="en-US"/>
        </w:rPr>
        <w:t>Conclusion:</w:t>
      </w:r>
      <w:r>
        <w:rPr>
          <w:b/>
          <w:lang w:val="en-US"/>
        </w:rPr>
        <w:t xml:space="preserve"> </w:t>
      </w:r>
      <w:r w:rsidR="00AD1738">
        <w:rPr>
          <w:lang w:val="en-US"/>
        </w:rPr>
        <w:t>The volumetric analysis of healthy subjects MRI in different age groups plays an important role in the study of relevant concepts to normal brain development and aging effects on thalamic structure</w:t>
      </w:r>
      <w:r w:rsidR="006B0A4A">
        <w:rPr>
          <w:lang w:val="en-US"/>
        </w:rPr>
        <w:t xml:space="preserve">. This </w:t>
      </w:r>
      <w:proofErr w:type="gramStart"/>
      <w:r w:rsidR="006B0A4A">
        <w:rPr>
          <w:lang w:val="en-US"/>
        </w:rPr>
        <w:t>can be used</w:t>
      </w:r>
      <w:proofErr w:type="gramEnd"/>
      <w:r w:rsidR="006B0A4A">
        <w:rPr>
          <w:lang w:val="en-US"/>
        </w:rPr>
        <w:t xml:space="preserve"> to study </w:t>
      </w:r>
      <w:r w:rsidR="00AD1738">
        <w:rPr>
          <w:lang w:val="en-US"/>
        </w:rPr>
        <w:t>cognitive decline, as well as in diagnosis, surgical planning and following of certain neurological diseases involving the thalamus.</w:t>
      </w:r>
    </w:p>
    <w:p w14:paraId="49505C03" w14:textId="52DD4E28" w:rsidR="006A63E3" w:rsidRPr="00D16EF3" w:rsidRDefault="005B0920" w:rsidP="00AD1738">
      <w:pPr>
        <w:rPr>
          <w:sz w:val="22"/>
          <w:lang w:val="en-US"/>
        </w:rPr>
      </w:pPr>
      <w:proofErr w:type="spellStart"/>
      <w:r w:rsidRPr="005B0920">
        <w:rPr>
          <w:b/>
          <w:lang w:val="en-US"/>
        </w:rPr>
        <w:t>Acknoledgement</w:t>
      </w:r>
      <w:proofErr w:type="spellEnd"/>
      <w:r w:rsidRPr="005B0920">
        <w:rPr>
          <w:b/>
          <w:lang w:val="en-US"/>
        </w:rPr>
        <w:t>:</w:t>
      </w:r>
      <w:r>
        <w:rPr>
          <w:lang w:val="en-US"/>
        </w:rPr>
        <w:t xml:space="preserve"> </w:t>
      </w:r>
      <w:r w:rsidR="00D16EF3">
        <w:rPr>
          <w:lang w:val="en-US"/>
        </w:rPr>
        <w:t>A. F.</w:t>
      </w:r>
      <w:r w:rsidR="00D817DC" w:rsidRPr="006A63E3">
        <w:rPr>
          <w:lang w:val="en-US"/>
        </w:rPr>
        <w:t xml:space="preserve"> B. Camargo</w:t>
      </w:r>
      <w:r w:rsidR="00D817DC">
        <w:rPr>
          <w:sz w:val="20"/>
          <w:lang w:val="en-US"/>
        </w:rPr>
        <w:t xml:space="preserve"> </w:t>
      </w:r>
      <w:r w:rsidR="00D817DC" w:rsidRPr="006A63E3">
        <w:rPr>
          <w:sz w:val="22"/>
          <w:lang w:val="en-US"/>
        </w:rPr>
        <w:t xml:space="preserve">is recipient of </w:t>
      </w:r>
      <w:r w:rsidRPr="006A63E3">
        <w:rPr>
          <w:sz w:val="22"/>
          <w:lang w:val="en-US"/>
        </w:rPr>
        <w:t>FAPESP Scholarship 2015/04273-7</w:t>
      </w:r>
      <w:r w:rsidR="006A63E3">
        <w:rPr>
          <w:sz w:val="22"/>
          <w:lang w:val="en-US"/>
        </w:rPr>
        <w:t>.</w:t>
      </w:r>
    </w:p>
    <w:p w14:paraId="607F5191" w14:textId="77777777" w:rsidR="00263FB4" w:rsidRPr="00102007" w:rsidRDefault="00263FB4" w:rsidP="00263FB4">
      <w:pPr>
        <w:rPr>
          <w:lang w:val="en-US"/>
        </w:rPr>
      </w:pPr>
      <w:r w:rsidRPr="00102007">
        <w:rPr>
          <w:b/>
          <w:lang w:val="en-US"/>
        </w:rPr>
        <w:t xml:space="preserve">References: </w:t>
      </w:r>
      <w:r w:rsidR="00AD1738">
        <w:rPr>
          <w:lang w:val="en-US"/>
        </w:rPr>
        <w:t xml:space="preserve">[1] </w:t>
      </w:r>
      <w:proofErr w:type="spellStart"/>
      <w:r w:rsidR="00AD1738">
        <w:rPr>
          <w:lang w:val="en-US"/>
        </w:rPr>
        <w:t>Lucerna</w:t>
      </w:r>
      <w:proofErr w:type="spellEnd"/>
      <w:r w:rsidR="00AD1738">
        <w:rPr>
          <w:lang w:val="en-US"/>
        </w:rPr>
        <w:t xml:space="preserve"> S et al., Springer, 2002; [2] Cao B et al., </w:t>
      </w:r>
      <w:proofErr w:type="spellStart"/>
      <w:r w:rsidR="00AD1738">
        <w:rPr>
          <w:lang w:val="en-US"/>
        </w:rPr>
        <w:t>NeuroImage</w:t>
      </w:r>
      <w:proofErr w:type="spellEnd"/>
      <w:r w:rsidR="00AD1738">
        <w:rPr>
          <w:lang w:val="en-US"/>
        </w:rPr>
        <w:t xml:space="preserve"> 117:311-318, 2015; [3] </w:t>
      </w:r>
      <w:proofErr w:type="spellStart"/>
      <w:r w:rsidR="00AD1738">
        <w:rPr>
          <w:lang w:val="en-US"/>
        </w:rPr>
        <w:t>Bozzali</w:t>
      </w:r>
      <w:proofErr w:type="spellEnd"/>
      <w:r w:rsidR="00AD1738">
        <w:rPr>
          <w:lang w:val="en-US"/>
        </w:rPr>
        <w:t xml:space="preserve"> M et al., Magnetic Resonance Imaging, 26:1065-1070, 2008; [4] </w:t>
      </w:r>
      <w:proofErr w:type="spellStart"/>
      <w:r w:rsidR="00AD1738">
        <w:rPr>
          <w:lang w:val="en-US"/>
        </w:rPr>
        <w:t>Kodiweera</w:t>
      </w:r>
      <w:proofErr w:type="spellEnd"/>
      <w:r w:rsidR="00AD1738">
        <w:rPr>
          <w:lang w:val="en-US"/>
        </w:rPr>
        <w:t xml:space="preserve"> C et al., </w:t>
      </w:r>
      <w:proofErr w:type="spellStart"/>
      <w:r w:rsidR="00AD1738">
        <w:rPr>
          <w:lang w:val="en-US"/>
        </w:rPr>
        <w:t>NeuroImage</w:t>
      </w:r>
      <w:proofErr w:type="spellEnd"/>
      <w:r w:rsidR="00AD1738">
        <w:rPr>
          <w:lang w:val="en-US"/>
        </w:rPr>
        <w:t xml:space="preserve"> 128:180-192, 2016.</w:t>
      </w:r>
    </w:p>
    <w:sectPr w:rsidR="00263FB4" w:rsidRPr="00102007"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080F4" w14:textId="77777777" w:rsidR="00CB43F4" w:rsidRDefault="00CB43F4" w:rsidP="00743343">
      <w:r>
        <w:separator/>
      </w:r>
    </w:p>
  </w:endnote>
  <w:endnote w:type="continuationSeparator" w:id="0">
    <w:p w14:paraId="78F4F9B4" w14:textId="77777777" w:rsidR="00CB43F4" w:rsidRDefault="00CB43F4"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41C68" w14:textId="77777777" w:rsidR="00CB43F4" w:rsidRDefault="00CB43F4" w:rsidP="00743343">
      <w:r>
        <w:separator/>
      </w:r>
    </w:p>
  </w:footnote>
  <w:footnote w:type="continuationSeparator" w:id="0">
    <w:p w14:paraId="17B6F25E" w14:textId="77777777" w:rsidR="00CB43F4" w:rsidRDefault="00CB43F4"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E074" w14:textId="77777777" w:rsidR="006B0A4A" w:rsidRPr="000557A7" w:rsidRDefault="006B0A4A"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14:anchorId="2C83A1E7" wp14:editId="50E6F70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BEF97A" w14:textId="77777777" w:rsidR="006B0A4A" w:rsidRDefault="006B0A4A">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14:paraId="09756C27" w14:textId="77777777" w:rsidR="006B0A4A" w:rsidRDefault="006B0A4A">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14:paraId="78C2DBCC" w14:textId="77777777" w:rsidR="006B0A4A" w:rsidRPr="000557A7" w:rsidRDefault="006B0A4A">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83A1E7"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3sOAIAADk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" stroked="f">
              <v:textbox>
                <w:txbxContent>
                  <w:p w14:paraId="10BEF97A" w14:textId="77777777" w:rsidR="006B0A4A" w:rsidRDefault="006B0A4A">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14:paraId="09756C27" w14:textId="77777777" w:rsidR="006B0A4A" w:rsidRDefault="006B0A4A">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14:paraId="78C2DBCC" w14:textId="77777777" w:rsidR="006B0A4A" w:rsidRPr="000557A7" w:rsidRDefault="006B0A4A">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v:textbox>
            </v:shape>
          </w:pict>
        </mc:Fallback>
      </mc:AlternateContent>
    </w:r>
    <w:r>
      <w:rPr>
        <w:noProof/>
        <w:lang w:eastAsia="pt-BR"/>
      </w:rPr>
      <w:drawing>
        <wp:anchor distT="0" distB="0" distL="114300" distR="114300" simplePos="0" relativeHeight="251658240" behindDoc="0" locked="0" layoutInCell="1" allowOverlap="1" wp14:anchorId="479EC445" wp14:editId="30DC5BEA">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5"/>
    <w:rsid w:val="0003597F"/>
    <w:rsid w:val="00042C87"/>
    <w:rsid w:val="000557A7"/>
    <w:rsid w:val="000B433A"/>
    <w:rsid w:val="000D4088"/>
    <w:rsid w:val="00102007"/>
    <w:rsid w:val="001477FB"/>
    <w:rsid w:val="00196F80"/>
    <w:rsid w:val="001D1D7B"/>
    <w:rsid w:val="00262DE0"/>
    <w:rsid w:val="00263FB4"/>
    <w:rsid w:val="00264FBA"/>
    <w:rsid w:val="002C3BE6"/>
    <w:rsid w:val="002E5535"/>
    <w:rsid w:val="002F1EA5"/>
    <w:rsid w:val="003513A8"/>
    <w:rsid w:val="003B0DB9"/>
    <w:rsid w:val="004061C0"/>
    <w:rsid w:val="00463BB7"/>
    <w:rsid w:val="004647A5"/>
    <w:rsid w:val="0049470E"/>
    <w:rsid w:val="00495481"/>
    <w:rsid w:val="004D3FC7"/>
    <w:rsid w:val="005025C1"/>
    <w:rsid w:val="005B0920"/>
    <w:rsid w:val="005E1B59"/>
    <w:rsid w:val="00661827"/>
    <w:rsid w:val="006A63E3"/>
    <w:rsid w:val="006B0A4A"/>
    <w:rsid w:val="00743343"/>
    <w:rsid w:val="007B35CF"/>
    <w:rsid w:val="00832B02"/>
    <w:rsid w:val="00972C0A"/>
    <w:rsid w:val="00A25F3B"/>
    <w:rsid w:val="00AD1738"/>
    <w:rsid w:val="00AD5A4B"/>
    <w:rsid w:val="00B52F14"/>
    <w:rsid w:val="00B64A0D"/>
    <w:rsid w:val="00C171DE"/>
    <w:rsid w:val="00C85417"/>
    <w:rsid w:val="00CB43F4"/>
    <w:rsid w:val="00D151CD"/>
    <w:rsid w:val="00D16EF3"/>
    <w:rsid w:val="00D817DC"/>
    <w:rsid w:val="00E24564"/>
    <w:rsid w:val="00EA6C72"/>
    <w:rsid w:val="00F4746B"/>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5678F"/>
  <w15:docId w15:val="{7B229114-F6B1-4443-A9FD-356CC80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table" w:customStyle="1" w:styleId="TabelaSimples21">
    <w:name w:val="Tabela Simples 21"/>
    <w:basedOn w:val="Tabelanormal"/>
    <w:uiPriority w:val="42"/>
    <w:rsid w:val="00AD173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Alline Camargo</cp:lastModifiedBy>
  <cp:revision>2</cp:revision>
  <dcterms:created xsi:type="dcterms:W3CDTF">2016-02-12T23:40:00Z</dcterms:created>
  <dcterms:modified xsi:type="dcterms:W3CDTF">2016-02-12T23:40:00Z</dcterms:modified>
</cp:coreProperties>
</file>